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4E" w:rsidRPr="005D4D4E" w:rsidRDefault="005D4D4E" w:rsidP="005D4D4E">
      <w:pPr>
        <w:autoSpaceDE w:val="0"/>
        <w:autoSpaceDN w:val="0"/>
        <w:adjustRightInd w:val="0"/>
        <w:spacing w:after="0" w:line="360" w:lineRule="auto"/>
        <w:jc w:val="center"/>
        <w:rPr>
          <w:rFonts w:ascii="Arial" w:hAnsi="Arial" w:cs="Arial"/>
          <w:sz w:val="36"/>
          <w:szCs w:val="36"/>
        </w:rPr>
      </w:pPr>
      <w:r>
        <w:rPr>
          <w:rFonts w:ascii="Calibri" w:hAnsi="Calibri" w:cs="Calibri"/>
          <w:noProof/>
          <w:lang w:eastAsia="lt-LT"/>
        </w:rPr>
        <w:drawing>
          <wp:inline distT="0" distB="0" distL="0" distR="0">
            <wp:extent cx="1276350" cy="914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inline>
        </w:drawing>
      </w:r>
    </w:p>
    <w:p w:rsidR="005D4D4E" w:rsidRPr="005D4D4E" w:rsidRDefault="005D4D4E" w:rsidP="005D4D4E">
      <w:pPr>
        <w:autoSpaceDE w:val="0"/>
        <w:autoSpaceDN w:val="0"/>
        <w:adjustRightInd w:val="0"/>
        <w:spacing w:after="0" w:line="240" w:lineRule="auto"/>
        <w:jc w:val="center"/>
        <w:rPr>
          <w:rFonts w:ascii="Times New Roman" w:hAnsi="Times New Roman" w:cs="Times New Roman"/>
          <w:sz w:val="36"/>
          <w:szCs w:val="36"/>
        </w:rPr>
      </w:pPr>
      <w:r w:rsidRPr="005D4D4E">
        <w:rPr>
          <w:rFonts w:ascii="Times New Roman" w:hAnsi="Times New Roman" w:cs="Times New Roman"/>
          <w:sz w:val="36"/>
          <w:szCs w:val="36"/>
        </w:rPr>
        <w:t>STUDIJŲ KOKYBĖS VERTINIMO CENTRAS</w:t>
      </w:r>
    </w:p>
    <w:p w:rsidR="005D4D4E" w:rsidRPr="005D4D4E" w:rsidRDefault="005D4D4E" w:rsidP="005D4D4E">
      <w:pPr>
        <w:keepNext/>
        <w:autoSpaceDE w:val="0"/>
        <w:autoSpaceDN w:val="0"/>
        <w:adjustRightInd w:val="0"/>
        <w:spacing w:after="0" w:line="240" w:lineRule="auto"/>
        <w:outlineLvl w:val="0"/>
        <w:rPr>
          <w:rFonts w:ascii="Times New Roman" w:hAnsi="Times New Roman" w:cs="Times New Roman"/>
          <w:b/>
          <w:bCs/>
          <w:sz w:val="36"/>
          <w:szCs w:val="36"/>
        </w:rPr>
      </w:pPr>
    </w:p>
    <w:p w:rsidR="005D4D4E" w:rsidRPr="005D4D4E" w:rsidRDefault="005D4D4E" w:rsidP="005D4D4E">
      <w:pPr>
        <w:autoSpaceDE w:val="0"/>
        <w:autoSpaceDN w:val="0"/>
        <w:adjustRightInd w:val="0"/>
        <w:spacing w:after="0" w:line="240" w:lineRule="auto"/>
        <w:jc w:val="center"/>
        <w:rPr>
          <w:rFonts w:ascii="Times New Roman" w:hAnsi="Times New Roman" w:cs="Times New Roman"/>
          <w:b/>
          <w:bCs/>
          <w:sz w:val="36"/>
          <w:szCs w:val="36"/>
        </w:rPr>
      </w:pPr>
      <w:r w:rsidRPr="005D4D4E">
        <w:rPr>
          <w:rFonts w:ascii="Times New Roman" w:hAnsi="Times New Roman" w:cs="Times New Roman"/>
          <w:b/>
          <w:bCs/>
          <w:sz w:val="36"/>
          <w:szCs w:val="36"/>
        </w:rPr>
        <w:t>Lietuvos muzikos ir teatro akademijos (Kauno fakultetas)</w:t>
      </w:r>
    </w:p>
    <w:p w:rsidR="005D4D4E" w:rsidRPr="005D4D4E" w:rsidRDefault="005D4D4E" w:rsidP="005D4D4E">
      <w:pPr>
        <w:autoSpaceDE w:val="0"/>
        <w:autoSpaceDN w:val="0"/>
        <w:adjustRightInd w:val="0"/>
        <w:spacing w:before="160" w:after="160" w:line="240" w:lineRule="auto"/>
        <w:jc w:val="center"/>
        <w:rPr>
          <w:rFonts w:ascii="Times New Roman" w:hAnsi="Times New Roman" w:cs="Times New Roman"/>
          <w:b/>
          <w:bCs/>
          <w:sz w:val="36"/>
          <w:szCs w:val="36"/>
        </w:rPr>
      </w:pPr>
      <w:r w:rsidRPr="005D4D4E">
        <w:rPr>
          <w:rFonts w:ascii="Times New Roman" w:hAnsi="Times New Roman" w:cs="Times New Roman"/>
          <w:b/>
          <w:bCs/>
          <w:sz w:val="36"/>
          <w:szCs w:val="36"/>
        </w:rPr>
        <w:t xml:space="preserve"> </w:t>
      </w:r>
      <w:r w:rsidRPr="005D4D4E">
        <w:rPr>
          <w:rFonts w:ascii="Times New Roman" w:hAnsi="Times New Roman" w:cs="Times New Roman"/>
          <w:b/>
          <w:bCs/>
          <w:sz w:val="36"/>
          <w:szCs w:val="36"/>
        </w:rPr>
        <w:tab/>
      </w:r>
      <w:r w:rsidRPr="005D4D4E">
        <w:rPr>
          <w:rFonts w:ascii="Times New Roman" w:hAnsi="Times New Roman" w:cs="Times New Roman"/>
          <w:b/>
          <w:bCs/>
          <w:i/>
          <w:iCs/>
          <w:sz w:val="36"/>
          <w:szCs w:val="36"/>
        </w:rPr>
        <w:t>PROGRAMOS BENDROJI MUZIKOS DIDAKTIKA</w:t>
      </w:r>
      <w:r w:rsidRPr="005D4D4E">
        <w:rPr>
          <w:rFonts w:ascii="Times New Roman" w:hAnsi="Times New Roman" w:cs="Times New Roman"/>
          <w:b/>
          <w:bCs/>
          <w:sz w:val="36"/>
          <w:szCs w:val="36"/>
        </w:rPr>
        <w:t xml:space="preserve"> (</w:t>
      </w:r>
      <w:r w:rsidRPr="005D4D4E">
        <w:rPr>
          <w:rFonts w:ascii="Times New Roman" w:hAnsi="Times New Roman" w:cs="Times New Roman"/>
          <w:b/>
          <w:bCs/>
          <w:color w:val="000000"/>
          <w:sz w:val="36"/>
          <w:szCs w:val="36"/>
        </w:rPr>
        <w:t xml:space="preserve">62401M109, 621X14001) </w:t>
      </w:r>
      <w:r w:rsidRPr="005D4D4E">
        <w:rPr>
          <w:rFonts w:ascii="Times New Roman" w:hAnsi="Times New Roman" w:cs="Times New Roman"/>
          <w:sz w:val="36"/>
          <w:szCs w:val="36"/>
        </w:rPr>
        <w:br/>
      </w:r>
      <w:r w:rsidRPr="005D4D4E">
        <w:rPr>
          <w:rFonts w:ascii="Times New Roman" w:hAnsi="Times New Roman" w:cs="Times New Roman"/>
          <w:b/>
          <w:bCs/>
          <w:sz w:val="36"/>
          <w:szCs w:val="36"/>
        </w:rPr>
        <w:t>VERTINIMO IŠVADOS</w:t>
      </w:r>
    </w:p>
    <w:p w:rsidR="005D4D4E" w:rsidRPr="005D4D4E" w:rsidRDefault="005D4D4E" w:rsidP="005D4D4E">
      <w:pPr>
        <w:autoSpaceDE w:val="0"/>
        <w:autoSpaceDN w:val="0"/>
        <w:adjustRightInd w:val="0"/>
        <w:spacing w:after="0" w:line="240" w:lineRule="auto"/>
        <w:jc w:val="center"/>
        <w:rPr>
          <w:rFonts w:ascii="Times New Roman" w:hAnsi="Times New Roman" w:cs="Times New Roman"/>
          <w:sz w:val="36"/>
          <w:szCs w:val="36"/>
        </w:rPr>
      </w:pPr>
      <w:r w:rsidRPr="005D4D4E">
        <w:rPr>
          <w:rFonts w:ascii="Times New Roman" w:hAnsi="Times New Roman" w:cs="Times New Roman"/>
          <w:sz w:val="36"/>
          <w:szCs w:val="36"/>
        </w:rPr>
        <w:t>––––––––––––––––––––––––––––––</w:t>
      </w:r>
    </w:p>
    <w:p w:rsidR="005D4D4E" w:rsidRPr="005D4D4E" w:rsidRDefault="005D4D4E" w:rsidP="005D4D4E">
      <w:pPr>
        <w:autoSpaceDE w:val="0"/>
        <w:autoSpaceDN w:val="0"/>
        <w:adjustRightInd w:val="0"/>
        <w:spacing w:before="160" w:after="160" w:line="240" w:lineRule="auto"/>
        <w:jc w:val="center"/>
        <w:rPr>
          <w:rFonts w:ascii="Times New Roman" w:hAnsi="Times New Roman" w:cs="Times New Roman"/>
          <w:b/>
          <w:bCs/>
          <w:sz w:val="36"/>
          <w:szCs w:val="36"/>
        </w:rPr>
      </w:pPr>
      <w:r w:rsidRPr="005D4D4E">
        <w:rPr>
          <w:rFonts w:ascii="Times New Roman" w:hAnsi="Times New Roman" w:cs="Times New Roman"/>
          <w:b/>
          <w:bCs/>
          <w:sz w:val="36"/>
          <w:szCs w:val="36"/>
        </w:rPr>
        <w:t>EVALUATION REPORT</w:t>
      </w:r>
    </w:p>
    <w:p w:rsidR="005D4D4E" w:rsidRPr="005D4D4E" w:rsidRDefault="005D4D4E" w:rsidP="005D4D4E">
      <w:pPr>
        <w:autoSpaceDE w:val="0"/>
        <w:autoSpaceDN w:val="0"/>
        <w:adjustRightInd w:val="0"/>
        <w:spacing w:before="160" w:after="160" w:line="240" w:lineRule="auto"/>
        <w:jc w:val="center"/>
        <w:rPr>
          <w:rFonts w:ascii="Times New Roman" w:hAnsi="Times New Roman" w:cs="Times New Roman"/>
          <w:b/>
          <w:bCs/>
          <w:sz w:val="36"/>
          <w:szCs w:val="36"/>
        </w:rPr>
      </w:pPr>
      <w:proofErr w:type="spellStart"/>
      <w:r w:rsidRPr="005D4D4E">
        <w:rPr>
          <w:rFonts w:ascii="Times New Roman" w:hAnsi="Times New Roman" w:cs="Times New Roman"/>
          <w:b/>
          <w:bCs/>
          <w:sz w:val="36"/>
          <w:szCs w:val="36"/>
        </w:rPr>
        <w:t>of</w:t>
      </w:r>
      <w:proofErr w:type="spellEnd"/>
      <w:r w:rsidRPr="005D4D4E">
        <w:rPr>
          <w:rFonts w:ascii="Times New Roman" w:hAnsi="Times New Roman" w:cs="Times New Roman"/>
          <w:b/>
          <w:bCs/>
          <w:sz w:val="36"/>
          <w:szCs w:val="36"/>
        </w:rPr>
        <w:t xml:space="preserve"> </w:t>
      </w:r>
      <w:r w:rsidRPr="005D4D4E">
        <w:rPr>
          <w:rFonts w:ascii="Times New Roman" w:hAnsi="Times New Roman" w:cs="Times New Roman"/>
          <w:b/>
          <w:bCs/>
          <w:i/>
          <w:iCs/>
          <w:sz w:val="36"/>
          <w:szCs w:val="36"/>
        </w:rPr>
        <w:t>GENERAL MUSIC DIDACTICS</w:t>
      </w:r>
      <w:r w:rsidRPr="005D4D4E">
        <w:rPr>
          <w:rFonts w:ascii="Times New Roman" w:hAnsi="Times New Roman" w:cs="Times New Roman"/>
          <w:sz w:val="36"/>
          <w:szCs w:val="36"/>
        </w:rPr>
        <w:t xml:space="preserve"> </w:t>
      </w:r>
      <w:r w:rsidRPr="005D4D4E">
        <w:rPr>
          <w:rFonts w:ascii="Times New Roman" w:hAnsi="Times New Roman" w:cs="Times New Roman"/>
          <w:b/>
          <w:bCs/>
          <w:sz w:val="36"/>
          <w:szCs w:val="36"/>
        </w:rPr>
        <w:t>(</w:t>
      </w:r>
      <w:r w:rsidRPr="005D4D4E">
        <w:rPr>
          <w:rFonts w:ascii="Times New Roman" w:hAnsi="Times New Roman" w:cs="Times New Roman"/>
          <w:b/>
          <w:bCs/>
          <w:color w:val="000000"/>
          <w:sz w:val="36"/>
          <w:szCs w:val="36"/>
        </w:rPr>
        <w:t>62401M109, 621X14001)</w:t>
      </w:r>
      <w:r w:rsidRPr="005D4D4E">
        <w:rPr>
          <w:rFonts w:ascii="Times New Roman" w:hAnsi="Times New Roman" w:cs="Times New Roman"/>
          <w:sz w:val="36"/>
          <w:szCs w:val="36"/>
        </w:rPr>
        <w:br/>
      </w:r>
      <w:r w:rsidRPr="005D4D4E">
        <w:rPr>
          <w:rFonts w:ascii="Times New Roman" w:hAnsi="Times New Roman" w:cs="Times New Roman"/>
          <w:b/>
          <w:bCs/>
          <w:sz w:val="36"/>
          <w:szCs w:val="36"/>
        </w:rPr>
        <w:t>STUDY PROGRAMME</w:t>
      </w:r>
    </w:p>
    <w:p w:rsidR="005D4D4E" w:rsidRPr="005D4D4E" w:rsidRDefault="005D4D4E" w:rsidP="005D4D4E">
      <w:pPr>
        <w:autoSpaceDE w:val="0"/>
        <w:autoSpaceDN w:val="0"/>
        <w:adjustRightInd w:val="0"/>
        <w:spacing w:before="160" w:after="160" w:line="240" w:lineRule="auto"/>
        <w:jc w:val="center"/>
        <w:rPr>
          <w:rFonts w:ascii="Times New Roman" w:hAnsi="Times New Roman" w:cs="Times New Roman"/>
          <w:color w:val="000000"/>
          <w:sz w:val="28"/>
          <w:szCs w:val="28"/>
        </w:rPr>
      </w:pPr>
      <w:r w:rsidRPr="005D4D4E">
        <w:rPr>
          <w:rFonts w:ascii="Times New Roman" w:hAnsi="Times New Roman" w:cs="Times New Roman"/>
          <w:color w:val="000000"/>
          <w:sz w:val="28"/>
          <w:szCs w:val="28"/>
        </w:rPr>
        <w:t xml:space="preserve">at </w:t>
      </w:r>
      <w:proofErr w:type="spellStart"/>
      <w:r w:rsidRPr="005D4D4E">
        <w:rPr>
          <w:rFonts w:ascii="Times New Roman" w:hAnsi="Times New Roman" w:cs="Times New Roman"/>
          <w:color w:val="000000"/>
          <w:sz w:val="28"/>
          <w:szCs w:val="28"/>
        </w:rPr>
        <w:t>Lithuanian</w:t>
      </w:r>
      <w:proofErr w:type="spellEnd"/>
      <w:r w:rsidRPr="005D4D4E">
        <w:rPr>
          <w:rFonts w:ascii="Times New Roman" w:hAnsi="Times New Roman" w:cs="Times New Roman"/>
          <w:color w:val="000000"/>
          <w:sz w:val="28"/>
          <w:szCs w:val="28"/>
        </w:rPr>
        <w:t xml:space="preserve"> </w:t>
      </w:r>
      <w:proofErr w:type="spellStart"/>
      <w:r w:rsidRPr="005D4D4E">
        <w:rPr>
          <w:rFonts w:ascii="Times New Roman" w:hAnsi="Times New Roman" w:cs="Times New Roman"/>
          <w:color w:val="000000"/>
          <w:sz w:val="28"/>
          <w:szCs w:val="28"/>
        </w:rPr>
        <w:t>Academy</w:t>
      </w:r>
      <w:proofErr w:type="spellEnd"/>
      <w:r w:rsidRPr="005D4D4E">
        <w:rPr>
          <w:rFonts w:ascii="Times New Roman" w:hAnsi="Times New Roman" w:cs="Times New Roman"/>
          <w:color w:val="000000"/>
          <w:sz w:val="28"/>
          <w:szCs w:val="28"/>
        </w:rPr>
        <w:t xml:space="preserve"> </w:t>
      </w:r>
      <w:proofErr w:type="spellStart"/>
      <w:r w:rsidRPr="005D4D4E">
        <w:rPr>
          <w:rFonts w:ascii="Times New Roman" w:hAnsi="Times New Roman" w:cs="Times New Roman"/>
          <w:color w:val="000000"/>
          <w:sz w:val="28"/>
          <w:szCs w:val="28"/>
        </w:rPr>
        <w:t>of</w:t>
      </w:r>
      <w:proofErr w:type="spellEnd"/>
      <w:r w:rsidRPr="005D4D4E">
        <w:rPr>
          <w:rFonts w:ascii="Times New Roman" w:hAnsi="Times New Roman" w:cs="Times New Roman"/>
          <w:color w:val="000000"/>
          <w:sz w:val="28"/>
          <w:szCs w:val="28"/>
        </w:rPr>
        <w:t xml:space="preserve"> </w:t>
      </w:r>
      <w:proofErr w:type="spellStart"/>
      <w:r w:rsidRPr="005D4D4E">
        <w:rPr>
          <w:rFonts w:ascii="Times New Roman" w:hAnsi="Times New Roman" w:cs="Times New Roman"/>
          <w:color w:val="000000"/>
          <w:sz w:val="28"/>
          <w:szCs w:val="28"/>
        </w:rPr>
        <w:t>Music</w:t>
      </w:r>
      <w:proofErr w:type="spellEnd"/>
      <w:r w:rsidRPr="005D4D4E">
        <w:rPr>
          <w:rFonts w:ascii="Times New Roman" w:hAnsi="Times New Roman" w:cs="Times New Roman"/>
          <w:color w:val="000000"/>
          <w:sz w:val="28"/>
          <w:szCs w:val="28"/>
        </w:rPr>
        <w:t xml:space="preserve"> </w:t>
      </w:r>
      <w:proofErr w:type="spellStart"/>
      <w:r w:rsidRPr="005D4D4E">
        <w:rPr>
          <w:rFonts w:ascii="Times New Roman" w:hAnsi="Times New Roman" w:cs="Times New Roman"/>
          <w:color w:val="000000"/>
          <w:sz w:val="28"/>
          <w:szCs w:val="28"/>
        </w:rPr>
        <w:t>and</w:t>
      </w:r>
      <w:proofErr w:type="spellEnd"/>
      <w:r w:rsidRPr="005D4D4E">
        <w:rPr>
          <w:rFonts w:ascii="Times New Roman" w:hAnsi="Times New Roman" w:cs="Times New Roman"/>
          <w:color w:val="000000"/>
          <w:sz w:val="28"/>
          <w:szCs w:val="28"/>
        </w:rPr>
        <w:t xml:space="preserve"> </w:t>
      </w:r>
      <w:proofErr w:type="spellStart"/>
      <w:r w:rsidRPr="005D4D4E">
        <w:rPr>
          <w:rFonts w:ascii="Times New Roman" w:hAnsi="Times New Roman" w:cs="Times New Roman"/>
          <w:color w:val="000000"/>
          <w:sz w:val="28"/>
          <w:szCs w:val="28"/>
        </w:rPr>
        <w:t>Theatre</w:t>
      </w:r>
      <w:proofErr w:type="spellEnd"/>
      <w:r w:rsidRPr="005D4D4E">
        <w:rPr>
          <w:rFonts w:ascii="Times New Roman" w:hAnsi="Times New Roman" w:cs="Times New Roman"/>
          <w:color w:val="000000"/>
          <w:sz w:val="28"/>
          <w:szCs w:val="28"/>
        </w:rPr>
        <w:t xml:space="preserve"> (Kaunas </w:t>
      </w:r>
      <w:proofErr w:type="spellStart"/>
      <w:r w:rsidRPr="005D4D4E">
        <w:rPr>
          <w:rFonts w:ascii="Times New Roman" w:hAnsi="Times New Roman" w:cs="Times New Roman"/>
          <w:color w:val="000000"/>
          <w:sz w:val="28"/>
          <w:szCs w:val="28"/>
        </w:rPr>
        <w:t>Faculty</w:t>
      </w:r>
      <w:proofErr w:type="spellEnd"/>
      <w:r w:rsidRPr="005D4D4E">
        <w:rPr>
          <w:rFonts w:ascii="Times New Roman" w:hAnsi="Times New Roman" w:cs="Times New Roman"/>
          <w:color w:val="000000"/>
          <w:sz w:val="28"/>
          <w:szCs w:val="28"/>
        </w:rPr>
        <w:t>)</w:t>
      </w:r>
    </w:p>
    <w:p w:rsidR="005D4D4E" w:rsidRPr="005D4D4E" w:rsidRDefault="005D4D4E" w:rsidP="005D4D4E">
      <w:pPr>
        <w:autoSpaceDE w:val="0"/>
        <w:autoSpaceDN w:val="0"/>
        <w:adjustRightInd w:val="0"/>
        <w:spacing w:after="0" w:line="240" w:lineRule="auto"/>
        <w:jc w:val="center"/>
        <w:rPr>
          <w:rFonts w:ascii="Times New Roman" w:hAnsi="Times New Roman" w:cs="Times New Roman"/>
          <w:sz w:val="36"/>
          <w:szCs w:val="36"/>
        </w:rPr>
      </w:pPr>
    </w:p>
    <w:p w:rsidR="005D4D4E" w:rsidRPr="005D4D4E" w:rsidRDefault="005D4D4E" w:rsidP="005D4D4E">
      <w:pPr>
        <w:keepNext/>
        <w:autoSpaceDE w:val="0"/>
        <w:autoSpaceDN w:val="0"/>
        <w:adjustRightInd w:val="0"/>
        <w:spacing w:after="0" w:line="240" w:lineRule="auto"/>
        <w:outlineLvl w:val="0"/>
        <w:rPr>
          <w:rFonts w:ascii="Times New Roman" w:hAnsi="Times New Roman" w:cs="Times New Roman"/>
          <w:b/>
          <w:bCs/>
          <w:sz w:val="24"/>
          <w:szCs w:val="24"/>
        </w:rPr>
      </w:pPr>
    </w:p>
    <w:tbl>
      <w:tblPr>
        <w:tblW w:w="0" w:type="auto"/>
        <w:tblInd w:w="1548" w:type="dxa"/>
        <w:tblLayout w:type="fixed"/>
        <w:tblLook w:val="0000" w:firstRow="0" w:lastRow="0" w:firstColumn="0" w:lastColumn="0" w:noHBand="0" w:noVBand="0"/>
      </w:tblPr>
      <w:tblGrid>
        <w:gridCol w:w="2531"/>
        <w:gridCol w:w="5140"/>
      </w:tblGrid>
      <w:tr w:rsidR="005D4D4E" w:rsidRPr="005D4D4E">
        <w:tblPrEx>
          <w:tblCellMar>
            <w:top w:w="0" w:type="dxa"/>
            <w:bottom w:w="0" w:type="dxa"/>
          </w:tblCellMar>
        </w:tblPrEx>
        <w:trPr>
          <w:trHeight w:val="397"/>
        </w:trPr>
        <w:tc>
          <w:tcPr>
            <w:tcW w:w="2531" w:type="dxa"/>
            <w:tcBorders>
              <w:top w:val="nil"/>
              <w:left w:val="nil"/>
              <w:bottom w:val="nil"/>
              <w:right w:val="nil"/>
            </w:tcBorders>
            <w:vAlign w:val="center"/>
          </w:tcPr>
          <w:p w:rsidR="005D4D4E" w:rsidRPr="005D4D4E" w:rsidRDefault="005D4D4E" w:rsidP="005D4D4E">
            <w:pPr>
              <w:tabs>
                <w:tab w:val="left" w:pos="720"/>
                <w:tab w:val="center" w:pos="4153"/>
                <w:tab w:val="right" w:pos="8306"/>
              </w:tabs>
              <w:autoSpaceDE w:val="0"/>
              <w:autoSpaceDN w:val="0"/>
              <w:adjustRightInd w:val="0"/>
              <w:spacing w:after="0" w:line="240" w:lineRule="auto"/>
              <w:rPr>
                <w:rFonts w:ascii="Times New Roman" w:hAnsi="Times New Roman" w:cs="Times New Roman"/>
                <w:sz w:val="24"/>
                <w:szCs w:val="24"/>
              </w:rPr>
            </w:pPr>
            <w:r w:rsidRPr="005D4D4E">
              <w:rPr>
                <w:rFonts w:ascii="Times New Roman" w:hAnsi="Times New Roman" w:cs="Times New Roman"/>
                <w:sz w:val="24"/>
                <w:szCs w:val="24"/>
              </w:rPr>
              <w:t>Grupės vadovas:</w:t>
            </w:r>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roofErr w:type="spellStart"/>
            <w:r w:rsidRPr="005D4D4E">
              <w:rPr>
                <w:rFonts w:ascii="Times New Roman" w:hAnsi="Times New Roman" w:cs="Times New Roman"/>
                <w:sz w:val="24"/>
                <w:szCs w:val="24"/>
              </w:rPr>
              <w:t>Team</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leader</w:t>
            </w:r>
            <w:proofErr w:type="spellEnd"/>
            <w:r w:rsidRPr="005D4D4E">
              <w:rPr>
                <w:rFonts w:ascii="Times New Roman" w:hAnsi="Times New Roman" w:cs="Times New Roman"/>
                <w:sz w:val="24"/>
                <w:szCs w:val="24"/>
              </w:rPr>
              <w:t>:</w:t>
            </w:r>
          </w:p>
        </w:tc>
        <w:tc>
          <w:tcPr>
            <w:tcW w:w="5140"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roofErr w:type="spellStart"/>
            <w:r w:rsidRPr="005D4D4E">
              <w:rPr>
                <w:rFonts w:ascii="Times New Roman" w:hAnsi="Times New Roman" w:cs="Times New Roman"/>
                <w:sz w:val="24"/>
                <w:szCs w:val="24"/>
              </w:rPr>
              <w:t>Philippe</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Dinkel</w:t>
            </w:r>
            <w:proofErr w:type="spellEnd"/>
          </w:p>
        </w:tc>
      </w:tr>
      <w:tr w:rsidR="005D4D4E" w:rsidRPr="005D4D4E">
        <w:tblPrEx>
          <w:tblCellMar>
            <w:top w:w="0" w:type="dxa"/>
            <w:bottom w:w="0" w:type="dxa"/>
          </w:tblCellMar>
        </w:tblPrEx>
        <w:trPr>
          <w:trHeight w:hRule="exact" w:val="284"/>
        </w:trPr>
        <w:tc>
          <w:tcPr>
            <w:tcW w:w="2531"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c>
          <w:tcPr>
            <w:tcW w:w="5140"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r>
      <w:tr w:rsidR="005D4D4E" w:rsidRPr="005D4D4E">
        <w:tblPrEx>
          <w:tblCellMar>
            <w:top w:w="0" w:type="dxa"/>
            <w:bottom w:w="0" w:type="dxa"/>
          </w:tblCellMar>
        </w:tblPrEx>
        <w:trPr>
          <w:trHeight w:val="397"/>
        </w:trPr>
        <w:tc>
          <w:tcPr>
            <w:tcW w:w="2531" w:type="dxa"/>
            <w:vMerge w:val="restart"/>
            <w:tcBorders>
              <w:top w:val="nil"/>
              <w:left w:val="nil"/>
              <w:bottom w:val="nil"/>
              <w:right w:val="nil"/>
            </w:tcBorders>
            <w:vAlign w:val="center"/>
          </w:tcPr>
          <w:p w:rsidR="005D4D4E" w:rsidRPr="005D4D4E" w:rsidRDefault="005D4D4E" w:rsidP="005D4D4E">
            <w:pPr>
              <w:tabs>
                <w:tab w:val="left" w:pos="720"/>
                <w:tab w:val="center" w:pos="4153"/>
                <w:tab w:val="right" w:pos="8306"/>
              </w:tabs>
              <w:autoSpaceDE w:val="0"/>
              <w:autoSpaceDN w:val="0"/>
              <w:adjustRightInd w:val="0"/>
              <w:spacing w:after="0" w:line="240" w:lineRule="auto"/>
              <w:rPr>
                <w:rFonts w:ascii="Times New Roman" w:hAnsi="Times New Roman" w:cs="Times New Roman"/>
                <w:sz w:val="24"/>
                <w:szCs w:val="24"/>
              </w:rPr>
            </w:pPr>
            <w:r w:rsidRPr="005D4D4E">
              <w:rPr>
                <w:rFonts w:ascii="Times New Roman" w:hAnsi="Times New Roman" w:cs="Times New Roman"/>
                <w:sz w:val="24"/>
                <w:szCs w:val="24"/>
              </w:rPr>
              <w:t>Grupės nariai:</w:t>
            </w:r>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roofErr w:type="spellStart"/>
            <w:r w:rsidRPr="005D4D4E">
              <w:rPr>
                <w:rFonts w:ascii="Times New Roman" w:hAnsi="Times New Roman" w:cs="Times New Roman"/>
                <w:sz w:val="24"/>
                <w:szCs w:val="24"/>
              </w:rPr>
              <w:t>Team</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members</w:t>
            </w:r>
            <w:proofErr w:type="spellEnd"/>
            <w:r w:rsidRPr="005D4D4E">
              <w:rPr>
                <w:rFonts w:ascii="Times New Roman" w:hAnsi="Times New Roman" w:cs="Times New Roman"/>
                <w:sz w:val="24"/>
                <w:szCs w:val="24"/>
              </w:rPr>
              <w:t>:</w:t>
            </w:r>
          </w:p>
        </w:tc>
        <w:tc>
          <w:tcPr>
            <w:tcW w:w="5140"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roofErr w:type="spellStart"/>
            <w:r w:rsidRPr="005D4D4E">
              <w:rPr>
                <w:rFonts w:ascii="Times New Roman" w:hAnsi="Times New Roman" w:cs="Times New Roman"/>
                <w:sz w:val="24"/>
                <w:szCs w:val="24"/>
              </w:rPr>
              <w:t>Andras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Batta</w:t>
            </w:r>
            <w:proofErr w:type="spellEnd"/>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roofErr w:type="spellStart"/>
            <w:r w:rsidRPr="005D4D4E">
              <w:rPr>
                <w:rFonts w:ascii="Times New Roman" w:hAnsi="Times New Roman" w:cs="Times New Roman"/>
                <w:sz w:val="24"/>
                <w:szCs w:val="24"/>
              </w:rPr>
              <w:t>Robert</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Fitzpatrick</w:t>
            </w:r>
            <w:proofErr w:type="spellEnd"/>
            <w:r w:rsidRPr="005D4D4E">
              <w:rPr>
                <w:rFonts w:ascii="Times New Roman" w:hAnsi="Times New Roman" w:cs="Times New Roman"/>
                <w:sz w:val="24"/>
                <w:szCs w:val="24"/>
              </w:rPr>
              <w:t xml:space="preserve"> </w:t>
            </w:r>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r w:rsidRPr="005D4D4E">
              <w:rPr>
                <w:rFonts w:ascii="Times New Roman" w:hAnsi="Times New Roman" w:cs="Times New Roman"/>
                <w:sz w:val="24"/>
                <w:szCs w:val="24"/>
              </w:rPr>
              <w:t xml:space="preserve">Darius </w:t>
            </w:r>
            <w:proofErr w:type="spellStart"/>
            <w:r w:rsidRPr="005D4D4E">
              <w:rPr>
                <w:rFonts w:ascii="Times New Roman" w:hAnsi="Times New Roman" w:cs="Times New Roman"/>
                <w:sz w:val="24"/>
                <w:szCs w:val="24"/>
              </w:rPr>
              <w:t>Kucinskas</w:t>
            </w:r>
            <w:proofErr w:type="spellEnd"/>
            <w:r w:rsidRPr="005D4D4E">
              <w:rPr>
                <w:rFonts w:ascii="Times New Roman" w:hAnsi="Times New Roman" w:cs="Times New Roman"/>
                <w:sz w:val="24"/>
                <w:szCs w:val="24"/>
              </w:rPr>
              <w:t xml:space="preserve"> </w:t>
            </w:r>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r w:rsidRPr="005D4D4E">
              <w:rPr>
                <w:rFonts w:ascii="Times New Roman" w:hAnsi="Times New Roman" w:cs="Times New Roman"/>
                <w:sz w:val="24"/>
                <w:szCs w:val="24"/>
              </w:rPr>
              <w:t xml:space="preserve">Mist </w:t>
            </w:r>
            <w:proofErr w:type="spellStart"/>
            <w:r w:rsidRPr="005D4D4E">
              <w:rPr>
                <w:rFonts w:ascii="Times New Roman" w:hAnsi="Times New Roman" w:cs="Times New Roman"/>
                <w:sz w:val="24"/>
                <w:szCs w:val="24"/>
              </w:rPr>
              <w:t>Thorkelsdottir</w:t>
            </w:r>
            <w:proofErr w:type="spellEnd"/>
            <w:r w:rsidRPr="005D4D4E">
              <w:rPr>
                <w:rFonts w:ascii="Times New Roman" w:hAnsi="Times New Roman" w:cs="Times New Roman"/>
                <w:sz w:val="24"/>
                <w:szCs w:val="24"/>
              </w:rPr>
              <w:t xml:space="preserve"> </w:t>
            </w:r>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r w:rsidRPr="005D4D4E">
              <w:rPr>
                <w:rFonts w:ascii="Times New Roman" w:hAnsi="Times New Roman" w:cs="Times New Roman"/>
                <w:sz w:val="24"/>
                <w:szCs w:val="24"/>
              </w:rPr>
              <w:t xml:space="preserve">Gerda Van </w:t>
            </w:r>
            <w:proofErr w:type="spellStart"/>
            <w:r w:rsidRPr="005D4D4E">
              <w:rPr>
                <w:rFonts w:ascii="Times New Roman" w:hAnsi="Times New Roman" w:cs="Times New Roman"/>
                <w:sz w:val="24"/>
                <w:szCs w:val="24"/>
              </w:rPr>
              <w:t>Zelm</w:t>
            </w:r>
            <w:proofErr w:type="spellEnd"/>
          </w:p>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r>
      <w:tr w:rsidR="005D4D4E" w:rsidRPr="005D4D4E">
        <w:tblPrEx>
          <w:tblCellMar>
            <w:top w:w="0" w:type="dxa"/>
            <w:bottom w:w="0" w:type="dxa"/>
          </w:tblCellMar>
        </w:tblPrEx>
        <w:trPr>
          <w:trHeight w:val="397"/>
        </w:trPr>
        <w:tc>
          <w:tcPr>
            <w:tcW w:w="2531" w:type="dxa"/>
            <w:vMerge/>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c>
          <w:tcPr>
            <w:tcW w:w="5140"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r>
      <w:tr w:rsidR="005D4D4E" w:rsidRPr="005D4D4E">
        <w:tblPrEx>
          <w:tblCellMar>
            <w:top w:w="0" w:type="dxa"/>
            <w:bottom w:w="0" w:type="dxa"/>
          </w:tblCellMar>
        </w:tblPrEx>
        <w:trPr>
          <w:trHeight w:val="397"/>
        </w:trPr>
        <w:tc>
          <w:tcPr>
            <w:tcW w:w="2531"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c>
          <w:tcPr>
            <w:tcW w:w="5140"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r>
      <w:tr w:rsidR="005D4D4E" w:rsidRPr="005D4D4E">
        <w:tblPrEx>
          <w:tblCellMar>
            <w:top w:w="0" w:type="dxa"/>
            <w:bottom w:w="0" w:type="dxa"/>
          </w:tblCellMar>
        </w:tblPrEx>
        <w:trPr>
          <w:trHeight w:val="397"/>
        </w:trPr>
        <w:tc>
          <w:tcPr>
            <w:tcW w:w="2531"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c>
          <w:tcPr>
            <w:tcW w:w="5140" w:type="dxa"/>
            <w:tcBorders>
              <w:top w:val="nil"/>
              <w:left w:val="nil"/>
              <w:bottom w:val="nil"/>
              <w:right w:val="nil"/>
            </w:tcBorders>
            <w:vAlign w:val="center"/>
          </w:tcPr>
          <w:p w:rsidR="005D4D4E" w:rsidRPr="005D4D4E" w:rsidRDefault="005D4D4E" w:rsidP="005D4D4E">
            <w:pPr>
              <w:autoSpaceDE w:val="0"/>
              <w:autoSpaceDN w:val="0"/>
              <w:adjustRightInd w:val="0"/>
              <w:spacing w:after="0" w:line="240" w:lineRule="auto"/>
              <w:rPr>
                <w:rFonts w:ascii="Times New Roman" w:hAnsi="Times New Roman" w:cs="Times New Roman"/>
                <w:sz w:val="24"/>
                <w:szCs w:val="24"/>
              </w:rPr>
            </w:pPr>
          </w:p>
        </w:tc>
      </w:tr>
    </w:tbl>
    <w:p w:rsidR="005D4D4E" w:rsidRPr="005D4D4E" w:rsidRDefault="005D4D4E" w:rsidP="005D4D4E">
      <w:pPr>
        <w:autoSpaceDE w:val="0"/>
        <w:autoSpaceDN w:val="0"/>
        <w:adjustRightInd w:val="0"/>
        <w:spacing w:after="0" w:line="240" w:lineRule="auto"/>
        <w:jc w:val="center"/>
        <w:rPr>
          <w:rFonts w:ascii="TimesLT" w:hAnsi="TimesLT" w:cs="TimesLT"/>
          <w:sz w:val="28"/>
          <w:szCs w:val="28"/>
          <w:lang w:val="en-US"/>
        </w:rPr>
      </w:pP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US"/>
        </w:rPr>
      </w:pP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US"/>
        </w:rPr>
      </w:pP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US"/>
        </w:rPr>
      </w:pP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US"/>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US"/>
        </w:rPr>
      </w:pPr>
    </w:p>
    <w:p w:rsidR="005D4D4E" w:rsidRPr="005D4D4E" w:rsidRDefault="005D4D4E" w:rsidP="005D4D4E">
      <w:pPr>
        <w:autoSpaceDE w:val="0"/>
        <w:autoSpaceDN w:val="0"/>
        <w:adjustRightInd w:val="0"/>
        <w:spacing w:after="0" w:line="360" w:lineRule="auto"/>
        <w:jc w:val="center"/>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roofErr w:type="spellStart"/>
      <w:r w:rsidRPr="005D4D4E">
        <w:rPr>
          <w:rFonts w:ascii="TimesLT" w:hAnsi="TimesLT" w:cs="TimesLT"/>
          <w:sz w:val="24"/>
          <w:szCs w:val="24"/>
          <w:lang w:val="en-GB"/>
        </w:rPr>
        <w:t>Iðvados</w:t>
      </w:r>
      <w:proofErr w:type="spellEnd"/>
      <w:r w:rsidRPr="005D4D4E">
        <w:rPr>
          <w:rFonts w:ascii="TimesLT" w:hAnsi="TimesLT" w:cs="TimesLT"/>
          <w:sz w:val="24"/>
          <w:szCs w:val="24"/>
          <w:lang w:val="en-GB"/>
        </w:rPr>
        <w:t xml:space="preserve"> </w:t>
      </w:r>
      <w:proofErr w:type="spellStart"/>
      <w:r w:rsidRPr="005D4D4E">
        <w:rPr>
          <w:rFonts w:ascii="TimesLT" w:hAnsi="TimesLT" w:cs="TimesLT"/>
          <w:sz w:val="24"/>
          <w:szCs w:val="24"/>
          <w:lang w:val="en-GB"/>
        </w:rPr>
        <w:t>parengtos</w:t>
      </w:r>
      <w:proofErr w:type="spellEnd"/>
      <w:r w:rsidRPr="005D4D4E">
        <w:rPr>
          <w:rFonts w:ascii="TimesLT" w:hAnsi="TimesLT" w:cs="TimesLT"/>
          <w:sz w:val="24"/>
          <w:szCs w:val="24"/>
          <w:lang w:val="en-GB"/>
        </w:rPr>
        <w:t xml:space="preserve"> </w:t>
      </w:r>
      <w:proofErr w:type="spellStart"/>
      <w:r w:rsidRPr="005D4D4E">
        <w:rPr>
          <w:rFonts w:ascii="TimesLT" w:hAnsi="TimesLT" w:cs="TimesLT"/>
          <w:sz w:val="24"/>
          <w:szCs w:val="24"/>
          <w:lang w:val="en-GB"/>
        </w:rPr>
        <w:t>anglø</w:t>
      </w:r>
      <w:proofErr w:type="spellEnd"/>
      <w:r w:rsidRPr="005D4D4E">
        <w:rPr>
          <w:rFonts w:ascii="TimesLT" w:hAnsi="TimesLT" w:cs="TimesLT"/>
          <w:sz w:val="24"/>
          <w:szCs w:val="24"/>
          <w:lang w:val="en-GB"/>
        </w:rPr>
        <w:t xml:space="preserve"> </w:t>
      </w:r>
      <w:proofErr w:type="spellStart"/>
      <w:r w:rsidRPr="005D4D4E">
        <w:rPr>
          <w:rFonts w:ascii="TimesLT" w:hAnsi="TimesLT" w:cs="TimesLT"/>
          <w:sz w:val="24"/>
          <w:szCs w:val="24"/>
          <w:lang w:val="en-GB"/>
        </w:rPr>
        <w:t>kalba</w:t>
      </w:r>
      <w:proofErr w:type="spellEnd"/>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Report language - English</w:t>
      </w:r>
    </w:p>
    <w:p w:rsidR="005D4D4E" w:rsidRPr="005D4D4E" w:rsidRDefault="005D4D4E" w:rsidP="005D4D4E">
      <w:pPr>
        <w:autoSpaceDE w:val="0"/>
        <w:autoSpaceDN w:val="0"/>
        <w:adjustRightInd w:val="0"/>
        <w:spacing w:after="0" w:line="240" w:lineRule="auto"/>
        <w:jc w:val="center"/>
        <w:rPr>
          <w:rFonts w:ascii="TimesLT" w:hAnsi="TimesLT" w:cs="TimesLT"/>
          <w:sz w:val="32"/>
          <w:szCs w:val="32"/>
          <w:lang w:val="en-GB"/>
        </w:rPr>
      </w:pPr>
    </w:p>
    <w:p w:rsidR="005D4D4E" w:rsidRPr="005D4D4E" w:rsidRDefault="005D4D4E" w:rsidP="005D4D4E">
      <w:pPr>
        <w:autoSpaceDE w:val="0"/>
        <w:autoSpaceDN w:val="0"/>
        <w:adjustRightInd w:val="0"/>
        <w:spacing w:after="0" w:line="240" w:lineRule="auto"/>
        <w:jc w:val="center"/>
        <w:rPr>
          <w:rFonts w:ascii="TimesLT" w:hAnsi="TimesLT" w:cs="TimesLT"/>
          <w:sz w:val="24"/>
          <w:szCs w:val="24"/>
          <w:lang w:val="en-GB"/>
        </w:rPr>
      </w:pPr>
      <w:r w:rsidRPr="005D4D4E">
        <w:rPr>
          <w:rFonts w:ascii="TimesLT" w:hAnsi="TimesLT" w:cs="TimesLT"/>
          <w:b/>
          <w:bCs/>
          <w:sz w:val="24"/>
          <w:szCs w:val="24"/>
          <w:lang w:val="en-GB"/>
        </w:rPr>
        <w:t>INFORMATION ON EVALUATED STUDY PROGRAM</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4479"/>
        <w:gridCol w:w="4876"/>
      </w:tblGrid>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Name of the study program</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b/>
                <w:bCs/>
                <w:i/>
                <w:iCs/>
                <w:color w:val="000000"/>
                <w:sz w:val="24"/>
                <w:szCs w:val="24"/>
                <w:lang w:val="en-GB"/>
              </w:rPr>
            </w:pPr>
            <w:r w:rsidRPr="005D4D4E">
              <w:rPr>
                <w:rFonts w:ascii="TimesLT" w:hAnsi="TimesLT" w:cs="TimesLT"/>
                <w:b/>
                <w:bCs/>
                <w:i/>
                <w:iCs/>
                <w:color w:val="000000"/>
                <w:sz w:val="24"/>
                <w:szCs w:val="24"/>
                <w:lang w:val="en-GB"/>
              </w:rPr>
              <w:t>General Music Didactics</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State code</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62401M109</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New state code</w:t>
            </w:r>
          </w:p>
        </w:tc>
        <w:tc>
          <w:tcPr>
            <w:tcW w:w="4876" w:type="dxa"/>
            <w:tcBorders>
              <w:top w:val="single" w:sz="4" w:space="0" w:color="auto"/>
              <w:left w:val="nil"/>
              <w:bottom w:val="single" w:sz="4" w:space="0" w:color="auto"/>
              <w:right w:val="nil"/>
            </w:tcBorders>
          </w:tcPr>
          <w:p w:rsidR="005D4D4E" w:rsidRPr="005D4D4E" w:rsidRDefault="005D4D4E" w:rsidP="005D4D4E">
            <w:pPr>
              <w:autoSpaceDE w:val="0"/>
              <w:autoSpaceDN w:val="0"/>
              <w:adjustRightInd w:val="0"/>
              <w:spacing w:after="0" w:line="36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621X14001</w:t>
            </w:r>
            <w:r w:rsidRPr="005D4D4E">
              <w:rPr>
                <w:rFonts w:ascii="TimesLT" w:hAnsi="TimesLT" w:cs="TimesLT"/>
                <w:color w:val="000000"/>
                <w:sz w:val="36"/>
                <w:szCs w:val="36"/>
                <w:lang w:val="en-GB"/>
              </w:rPr>
              <w:br/>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Study area</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Arts</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Study field</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Music</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New study area</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Social sciences</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New study field</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Pedagogics</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Kind of the study program</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university studies</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Level of studies</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Second</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Study mode  (length in years)</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 xml:space="preserve">full-time </w:t>
            </w:r>
          </w:p>
        </w:tc>
      </w:tr>
      <w:tr w:rsidR="005D4D4E" w:rsidRPr="005D4D4E">
        <w:tblPrEx>
          <w:tblCellMar>
            <w:top w:w="0" w:type="dxa"/>
            <w:bottom w:w="0" w:type="dxa"/>
          </w:tblCellMar>
        </w:tblPrEx>
        <w:trPr>
          <w:trHeight w:hRule="exact" w:val="680"/>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vertAlign w:val="superscript"/>
                <w:lang w:val="en-GB"/>
              </w:rPr>
            </w:pPr>
            <w:r w:rsidRPr="005D4D4E">
              <w:rPr>
                <w:rFonts w:ascii="TimesLT" w:hAnsi="TimesLT" w:cs="TimesLT"/>
                <w:color w:val="000000"/>
                <w:sz w:val="24"/>
                <w:szCs w:val="24"/>
                <w:lang w:val="en-GB"/>
              </w:rPr>
              <w:t>Scope of the study program in national credits</w:t>
            </w:r>
            <w:r w:rsidRPr="005D4D4E">
              <w:rPr>
                <w:rFonts w:ascii="TimesLT" w:hAnsi="TimesLT" w:cs="TimesLT"/>
                <w:color w:val="000000"/>
                <w:sz w:val="24"/>
                <w:szCs w:val="24"/>
                <w:vertAlign w:val="superscript"/>
                <w:lang w:val="en-GB"/>
              </w:rPr>
              <w:t>1</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80</w:t>
            </w:r>
          </w:p>
        </w:tc>
      </w:tr>
      <w:tr w:rsidR="005D4D4E" w:rsidRPr="005D4D4E">
        <w:tblPrEx>
          <w:tblCellMar>
            <w:top w:w="0" w:type="dxa"/>
            <w:bottom w:w="0" w:type="dxa"/>
          </w:tblCellMar>
        </w:tblPrEx>
        <w:trPr>
          <w:trHeight w:hRule="exact" w:val="680"/>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Degree and (or) professional qualifications awarded</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Master of Music, teacher</w:t>
            </w:r>
          </w:p>
        </w:tc>
      </w:tr>
      <w:tr w:rsidR="005D4D4E" w:rsidRPr="005D4D4E">
        <w:tblPrEx>
          <w:tblCellMar>
            <w:top w:w="0" w:type="dxa"/>
            <w:bottom w:w="0" w:type="dxa"/>
          </w:tblCellMar>
        </w:tblPrEx>
        <w:trPr>
          <w:trHeight w:hRule="exact" w:val="680"/>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Degree and (or) professional qualifications awarded (for entrants from 2010)</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Master of Arts Teacher Training, teacher</w:t>
            </w:r>
          </w:p>
        </w:tc>
      </w:tr>
      <w:tr w:rsidR="005D4D4E" w:rsidRPr="005D4D4E">
        <w:tblPrEx>
          <w:tblCellMar>
            <w:top w:w="0" w:type="dxa"/>
            <w:bottom w:w="0" w:type="dxa"/>
          </w:tblCellMar>
        </w:tblPrEx>
        <w:trPr>
          <w:trHeight w:hRule="exact" w:val="397"/>
          <w:jc w:val="center"/>
        </w:trPr>
        <w:tc>
          <w:tcPr>
            <w:tcW w:w="4479"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Date of registration of the study program</w:t>
            </w:r>
          </w:p>
        </w:tc>
        <w:tc>
          <w:tcPr>
            <w:tcW w:w="4876" w:type="dxa"/>
            <w:tcBorders>
              <w:top w:val="single" w:sz="4" w:space="0" w:color="auto"/>
              <w:left w:val="nil"/>
              <w:bottom w:val="single" w:sz="4" w:space="0" w:color="auto"/>
              <w:right w:val="nil"/>
            </w:tcBorders>
            <w:vAlign w:val="center"/>
          </w:tcPr>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23/04/1999</w:t>
            </w:r>
          </w:p>
        </w:tc>
      </w:tr>
    </w:tbl>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rPr>
          <w:rFonts w:ascii="TimesLT" w:hAnsi="TimesLT" w:cs="TimesLT"/>
          <w:color w:val="000000"/>
          <w:sz w:val="20"/>
          <w:szCs w:val="20"/>
          <w:lang w:val="en-GB"/>
        </w:rPr>
      </w:pPr>
      <w:r w:rsidRPr="005D4D4E">
        <w:rPr>
          <w:rFonts w:ascii="TimesLT" w:hAnsi="TimesLT" w:cs="TimesLT"/>
          <w:color w:val="000000"/>
          <w:sz w:val="20"/>
          <w:szCs w:val="20"/>
          <w:vertAlign w:val="superscript"/>
          <w:lang w:val="en-GB"/>
        </w:rPr>
        <w:t>1</w:t>
      </w:r>
      <w:r w:rsidRPr="005D4D4E">
        <w:rPr>
          <w:rFonts w:ascii="TimesLT" w:hAnsi="TimesLT" w:cs="TimesLT"/>
          <w:color w:val="000000"/>
          <w:sz w:val="20"/>
          <w:szCs w:val="20"/>
          <w:lang w:val="en-GB"/>
        </w:rPr>
        <w:t xml:space="preserve"> – </w:t>
      </w:r>
      <w:proofErr w:type="gramStart"/>
      <w:r w:rsidRPr="005D4D4E">
        <w:rPr>
          <w:rFonts w:ascii="TimesLT" w:hAnsi="TimesLT" w:cs="TimesLT"/>
          <w:color w:val="000000"/>
          <w:sz w:val="20"/>
          <w:szCs w:val="20"/>
          <w:lang w:val="en-GB"/>
        </w:rPr>
        <w:t>one</w:t>
      </w:r>
      <w:proofErr w:type="gramEnd"/>
      <w:r w:rsidRPr="005D4D4E">
        <w:rPr>
          <w:rFonts w:ascii="TimesLT" w:hAnsi="TimesLT" w:cs="TimesLT"/>
          <w:color w:val="000000"/>
          <w:sz w:val="20"/>
          <w:szCs w:val="20"/>
          <w:lang w:val="en-GB"/>
        </w:rPr>
        <w:t xml:space="preserve"> credit is equal to 40 hours of student work</w:t>
      </w: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tbl>
      <w:tblPr>
        <w:tblW w:w="0" w:type="auto"/>
        <w:tblLayout w:type="fixed"/>
        <w:tblLook w:val="0000" w:firstRow="0" w:lastRow="0" w:firstColumn="0" w:lastColumn="0" w:noHBand="0" w:noVBand="0"/>
      </w:tblPr>
      <w:tblGrid>
        <w:gridCol w:w="460"/>
        <w:gridCol w:w="5557"/>
      </w:tblGrid>
      <w:tr w:rsidR="005D4D4E" w:rsidRPr="005D4D4E">
        <w:tblPrEx>
          <w:tblCellMar>
            <w:top w:w="0" w:type="dxa"/>
            <w:bottom w:w="0" w:type="dxa"/>
          </w:tblCellMar>
        </w:tblPrEx>
        <w:tc>
          <w:tcPr>
            <w:tcW w:w="460" w:type="dxa"/>
            <w:vMerge w:val="restart"/>
            <w:tcBorders>
              <w:top w:val="nil"/>
              <w:left w:val="nil"/>
              <w:bottom w:val="nil"/>
              <w:right w:val="nil"/>
            </w:tcBorders>
            <w:vAlign w:val="center"/>
          </w:tcPr>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r w:rsidRPr="005D4D4E">
              <w:rPr>
                <w:rFonts w:ascii="TimesLT" w:hAnsi="TimesLT" w:cs="TimesLT"/>
                <w:sz w:val="24"/>
                <w:szCs w:val="24"/>
                <w:lang w:val="en-GB"/>
              </w:rPr>
              <w:t>©</w:t>
            </w:r>
          </w:p>
        </w:tc>
        <w:tc>
          <w:tcPr>
            <w:tcW w:w="5557" w:type="dxa"/>
            <w:tcBorders>
              <w:top w:val="nil"/>
              <w:left w:val="nil"/>
              <w:bottom w:val="nil"/>
              <w:right w:val="nil"/>
            </w:tcBorders>
          </w:tcPr>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roofErr w:type="spellStart"/>
            <w:r w:rsidRPr="005D4D4E">
              <w:rPr>
                <w:rFonts w:ascii="TimesLT" w:hAnsi="TimesLT" w:cs="TimesLT"/>
                <w:sz w:val="24"/>
                <w:szCs w:val="24"/>
                <w:lang w:val="en-GB"/>
              </w:rPr>
              <w:t>Studijø</w:t>
            </w:r>
            <w:proofErr w:type="spellEnd"/>
            <w:r w:rsidRPr="005D4D4E">
              <w:rPr>
                <w:rFonts w:ascii="TimesLT" w:hAnsi="TimesLT" w:cs="TimesLT"/>
                <w:sz w:val="24"/>
                <w:szCs w:val="24"/>
                <w:lang w:val="en-GB"/>
              </w:rPr>
              <w:t xml:space="preserve"> </w:t>
            </w:r>
            <w:proofErr w:type="spellStart"/>
            <w:r w:rsidRPr="005D4D4E">
              <w:rPr>
                <w:rFonts w:ascii="TimesLT" w:hAnsi="TimesLT" w:cs="TimesLT"/>
                <w:sz w:val="24"/>
                <w:szCs w:val="24"/>
                <w:lang w:val="en-GB"/>
              </w:rPr>
              <w:t>kokybës</w:t>
            </w:r>
            <w:proofErr w:type="spellEnd"/>
            <w:r w:rsidRPr="005D4D4E">
              <w:rPr>
                <w:rFonts w:ascii="TimesLT" w:hAnsi="TimesLT" w:cs="TimesLT"/>
                <w:sz w:val="24"/>
                <w:szCs w:val="24"/>
                <w:lang w:val="en-GB"/>
              </w:rPr>
              <w:t xml:space="preserve"> </w:t>
            </w:r>
            <w:proofErr w:type="spellStart"/>
            <w:r w:rsidRPr="005D4D4E">
              <w:rPr>
                <w:rFonts w:ascii="TimesLT" w:hAnsi="TimesLT" w:cs="TimesLT"/>
                <w:sz w:val="24"/>
                <w:szCs w:val="24"/>
                <w:lang w:val="en-GB"/>
              </w:rPr>
              <w:t>vertinimo</w:t>
            </w:r>
            <w:proofErr w:type="spellEnd"/>
            <w:r w:rsidRPr="005D4D4E">
              <w:rPr>
                <w:rFonts w:ascii="TimesLT" w:hAnsi="TimesLT" w:cs="TimesLT"/>
                <w:sz w:val="24"/>
                <w:szCs w:val="24"/>
                <w:lang w:val="en-GB"/>
              </w:rPr>
              <w:t xml:space="preserve"> </w:t>
            </w:r>
            <w:proofErr w:type="spellStart"/>
            <w:r w:rsidRPr="005D4D4E">
              <w:rPr>
                <w:rFonts w:ascii="TimesLT" w:hAnsi="TimesLT" w:cs="TimesLT"/>
                <w:sz w:val="24"/>
                <w:szCs w:val="24"/>
                <w:lang w:val="en-GB"/>
              </w:rPr>
              <w:t>centras</w:t>
            </w:r>
            <w:proofErr w:type="spellEnd"/>
          </w:p>
        </w:tc>
      </w:tr>
      <w:tr w:rsidR="005D4D4E" w:rsidRPr="005D4D4E">
        <w:tblPrEx>
          <w:tblCellMar>
            <w:top w:w="0" w:type="dxa"/>
            <w:bottom w:w="0" w:type="dxa"/>
          </w:tblCellMar>
        </w:tblPrEx>
        <w:tc>
          <w:tcPr>
            <w:tcW w:w="460" w:type="dxa"/>
            <w:vMerge/>
            <w:tcBorders>
              <w:top w:val="nil"/>
              <w:left w:val="nil"/>
              <w:bottom w:val="nil"/>
              <w:right w:val="nil"/>
            </w:tcBorders>
          </w:tcPr>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tc>
        <w:tc>
          <w:tcPr>
            <w:tcW w:w="5557" w:type="dxa"/>
            <w:tcBorders>
              <w:top w:val="nil"/>
              <w:left w:val="nil"/>
              <w:bottom w:val="nil"/>
              <w:right w:val="nil"/>
            </w:tcBorders>
          </w:tcPr>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r w:rsidRPr="005D4D4E">
              <w:rPr>
                <w:rFonts w:ascii="TimesLT" w:hAnsi="TimesLT" w:cs="TimesLT"/>
                <w:sz w:val="24"/>
                <w:szCs w:val="24"/>
                <w:lang w:val="en-GB"/>
              </w:rPr>
              <w:t>Centre for Quality Assessment in Higher Education</w:t>
            </w:r>
          </w:p>
        </w:tc>
      </w:tr>
    </w:tbl>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GB"/>
        </w:rPr>
      </w:pP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GB"/>
        </w:rPr>
      </w:pP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GB"/>
        </w:rPr>
      </w:pPr>
      <w:r w:rsidRPr="005D4D4E">
        <w:rPr>
          <w:rFonts w:ascii="TimesLT" w:hAnsi="TimesLT" w:cs="TimesLT"/>
          <w:b/>
          <w:bCs/>
          <w:sz w:val="24"/>
          <w:szCs w:val="24"/>
          <w:lang w:val="en-GB"/>
        </w:rPr>
        <w:br w:type="page"/>
      </w:r>
      <w:r w:rsidRPr="005D4D4E">
        <w:rPr>
          <w:rFonts w:ascii="TimesLT" w:hAnsi="TimesLT" w:cs="TimesLT"/>
          <w:b/>
          <w:bCs/>
          <w:sz w:val="24"/>
          <w:szCs w:val="24"/>
          <w:lang w:val="en-GB"/>
        </w:rPr>
        <w:lastRenderedPageBreak/>
        <w:t>CONTENTS</w:t>
      </w: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rPr>
          <w:rFonts w:ascii="TimesLT" w:hAnsi="TimesLT" w:cs="TimesLT"/>
          <w:sz w:val="24"/>
          <w:szCs w:val="24"/>
          <w:lang w:val="en-GB"/>
        </w:rPr>
      </w:pPr>
      <w:hyperlink r:id="rId6" w:history="1">
        <w:r w:rsidRPr="005D4D4E">
          <w:rPr>
            <w:rFonts w:ascii="TimesLT" w:hAnsi="TimesLT" w:cs="TimesLT"/>
            <w:color w:val="0000FF"/>
            <w:sz w:val="24"/>
            <w:szCs w:val="24"/>
            <w:u w:val="single"/>
            <w:lang w:val="en-GB"/>
          </w:rPr>
          <w:t>CONTENTS</w:t>
        </w:r>
        <w:r w:rsidRPr="005D4D4E">
          <w:rPr>
            <w:rFonts w:ascii="TimesLT" w:hAnsi="TimesLT" w:cs="TimesLT"/>
            <w:sz w:val="24"/>
            <w:szCs w:val="24"/>
            <w:lang w:val="en-GB"/>
          </w:rPr>
          <w:tab/>
          <w:t>3</w:t>
        </w:r>
      </w:hyperlink>
    </w:p>
    <w:p w:rsidR="005D4D4E" w:rsidRPr="005D4D4E" w:rsidRDefault="005D4D4E" w:rsidP="005D4D4E">
      <w:pPr>
        <w:autoSpaceDE w:val="0"/>
        <w:autoSpaceDN w:val="0"/>
        <w:adjustRightInd w:val="0"/>
        <w:spacing w:after="0" w:line="240" w:lineRule="auto"/>
        <w:rPr>
          <w:rFonts w:ascii="TimesLT" w:hAnsi="TimesLT" w:cs="TimesLT"/>
          <w:sz w:val="24"/>
          <w:szCs w:val="24"/>
          <w:lang w:val="en-GB"/>
        </w:rPr>
      </w:pPr>
      <w:hyperlink r:id="rId7" w:history="1">
        <w:r w:rsidRPr="005D4D4E">
          <w:rPr>
            <w:rFonts w:ascii="TimesLT" w:hAnsi="TimesLT" w:cs="TimesLT"/>
            <w:color w:val="0000FF"/>
            <w:sz w:val="24"/>
            <w:szCs w:val="24"/>
            <w:u w:val="single"/>
            <w:lang w:val="en-GB"/>
          </w:rPr>
          <w:t>I. INTRODUCTION</w:t>
        </w:r>
        <w:r w:rsidRPr="005D4D4E">
          <w:rPr>
            <w:rFonts w:ascii="TimesLT" w:hAnsi="TimesLT" w:cs="TimesLT"/>
            <w:sz w:val="24"/>
            <w:szCs w:val="24"/>
            <w:lang w:val="en-GB"/>
          </w:rPr>
          <w:tab/>
          <w:t>4</w:t>
        </w:r>
      </w:hyperlink>
    </w:p>
    <w:p w:rsidR="005D4D4E" w:rsidRPr="005D4D4E" w:rsidRDefault="005D4D4E" w:rsidP="005D4D4E">
      <w:pPr>
        <w:autoSpaceDE w:val="0"/>
        <w:autoSpaceDN w:val="0"/>
        <w:adjustRightInd w:val="0"/>
        <w:spacing w:after="0" w:line="240" w:lineRule="auto"/>
        <w:rPr>
          <w:rFonts w:ascii="TimesLT" w:hAnsi="TimesLT" w:cs="TimesLT"/>
          <w:sz w:val="24"/>
          <w:szCs w:val="24"/>
          <w:lang w:val="en-GB"/>
        </w:rPr>
      </w:pPr>
      <w:hyperlink r:id="rId8" w:history="1">
        <w:r w:rsidRPr="005D4D4E">
          <w:rPr>
            <w:rFonts w:ascii="TimesLT" w:hAnsi="TimesLT" w:cs="TimesLT"/>
            <w:color w:val="0000FF"/>
            <w:sz w:val="24"/>
            <w:szCs w:val="24"/>
            <w:u w:val="single"/>
            <w:lang w:val="en-GB"/>
          </w:rPr>
          <w:t>II. PROGRAM ANALYSIS</w:t>
        </w:r>
        <w:r w:rsidRPr="005D4D4E">
          <w:rPr>
            <w:rFonts w:ascii="TimesLT" w:hAnsi="TimesLT" w:cs="TimesLT"/>
            <w:sz w:val="24"/>
            <w:szCs w:val="24"/>
            <w:lang w:val="en-GB"/>
          </w:rPr>
          <w:tab/>
          <w:t>4</w:t>
        </w:r>
      </w:hyperlink>
    </w:p>
    <w:p w:rsidR="005D4D4E" w:rsidRPr="005D4D4E" w:rsidRDefault="005D4D4E" w:rsidP="005D4D4E">
      <w:pPr>
        <w:autoSpaceDE w:val="0"/>
        <w:autoSpaceDN w:val="0"/>
        <w:adjustRightInd w:val="0"/>
        <w:spacing w:after="0" w:line="240" w:lineRule="auto"/>
        <w:ind w:left="240"/>
        <w:rPr>
          <w:rFonts w:ascii="TimesLT" w:hAnsi="TimesLT" w:cs="TimesLT"/>
          <w:sz w:val="24"/>
          <w:szCs w:val="24"/>
          <w:lang w:val="en-GB"/>
        </w:rPr>
      </w:pPr>
      <w:hyperlink r:id="rId9" w:history="1">
        <w:r w:rsidRPr="005D4D4E">
          <w:rPr>
            <w:rFonts w:ascii="TimesLT" w:hAnsi="TimesLT" w:cs="TimesLT"/>
            <w:color w:val="0000FF"/>
            <w:sz w:val="24"/>
            <w:szCs w:val="24"/>
            <w:u w:val="single"/>
            <w:lang w:val="en-GB"/>
          </w:rPr>
          <w:t>1. Program aims and learning outcomes</w:t>
        </w:r>
        <w:r w:rsidRPr="005D4D4E">
          <w:rPr>
            <w:rFonts w:ascii="TimesLT" w:hAnsi="TimesLT" w:cs="TimesLT"/>
            <w:sz w:val="24"/>
            <w:szCs w:val="24"/>
            <w:lang w:val="en-GB"/>
          </w:rPr>
          <w:tab/>
          <w:t>4</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0" w:history="1">
        <w:r w:rsidRPr="005D4D4E">
          <w:rPr>
            <w:rFonts w:ascii="TimesLT" w:hAnsi="TimesLT" w:cs="TimesLT"/>
            <w:color w:val="0000FF"/>
            <w:sz w:val="24"/>
            <w:szCs w:val="24"/>
            <w:u w:val="single"/>
            <w:lang w:val="en-GB"/>
          </w:rPr>
          <w:t>1.1. Program demand, purpose and aims</w:t>
        </w:r>
        <w:r w:rsidRPr="005D4D4E">
          <w:rPr>
            <w:rFonts w:ascii="TimesLT" w:hAnsi="TimesLT" w:cs="TimesLT"/>
            <w:sz w:val="24"/>
            <w:szCs w:val="24"/>
            <w:lang w:val="en-GB"/>
          </w:rPr>
          <w:tab/>
          <w:t>4</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1" w:history="1">
        <w:r w:rsidRPr="005D4D4E">
          <w:rPr>
            <w:rFonts w:ascii="TimesLT" w:hAnsi="TimesLT" w:cs="TimesLT"/>
            <w:color w:val="0000FF"/>
            <w:sz w:val="24"/>
            <w:szCs w:val="24"/>
            <w:u w:val="single"/>
            <w:lang w:val="en-GB"/>
          </w:rPr>
          <w:t>1.2. Learning outcomes of the program</w:t>
        </w:r>
        <w:r w:rsidRPr="005D4D4E">
          <w:rPr>
            <w:rFonts w:ascii="TimesLT" w:hAnsi="TimesLT" w:cs="TimesLT"/>
            <w:sz w:val="24"/>
            <w:szCs w:val="24"/>
            <w:lang w:val="en-GB"/>
          </w:rPr>
          <w:tab/>
          <w:t>5</w:t>
        </w:r>
      </w:hyperlink>
    </w:p>
    <w:p w:rsidR="005D4D4E" w:rsidRPr="005D4D4E" w:rsidRDefault="005D4D4E" w:rsidP="005D4D4E">
      <w:pPr>
        <w:autoSpaceDE w:val="0"/>
        <w:autoSpaceDN w:val="0"/>
        <w:adjustRightInd w:val="0"/>
        <w:spacing w:after="0" w:line="240" w:lineRule="auto"/>
        <w:ind w:left="240"/>
        <w:rPr>
          <w:rFonts w:ascii="TimesLT" w:hAnsi="TimesLT" w:cs="TimesLT"/>
          <w:sz w:val="24"/>
          <w:szCs w:val="24"/>
          <w:lang w:val="en-GB"/>
        </w:rPr>
      </w:pPr>
      <w:hyperlink r:id="rId12" w:history="1">
        <w:r w:rsidRPr="005D4D4E">
          <w:rPr>
            <w:rFonts w:ascii="TimesLT" w:hAnsi="TimesLT" w:cs="TimesLT"/>
            <w:color w:val="0000FF"/>
            <w:sz w:val="24"/>
            <w:szCs w:val="24"/>
            <w:u w:val="single"/>
            <w:lang w:val="en-GB"/>
          </w:rPr>
          <w:t>2. Curriculum design</w:t>
        </w:r>
        <w:r w:rsidRPr="005D4D4E">
          <w:rPr>
            <w:rFonts w:ascii="TimesLT" w:hAnsi="TimesLT" w:cs="TimesLT"/>
            <w:sz w:val="24"/>
            <w:szCs w:val="24"/>
            <w:lang w:val="en-GB"/>
          </w:rPr>
          <w:tab/>
          <w:t>6</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3" w:history="1">
        <w:r w:rsidRPr="005D4D4E">
          <w:rPr>
            <w:rFonts w:ascii="TimesLT" w:hAnsi="TimesLT" w:cs="TimesLT"/>
            <w:color w:val="0000FF"/>
            <w:sz w:val="24"/>
            <w:szCs w:val="24"/>
            <w:u w:val="single"/>
            <w:lang w:val="en-GB"/>
          </w:rPr>
          <w:t>2.1. Program structure</w:t>
        </w:r>
        <w:r w:rsidRPr="005D4D4E">
          <w:rPr>
            <w:rFonts w:ascii="TimesLT" w:hAnsi="TimesLT" w:cs="TimesLT"/>
            <w:sz w:val="24"/>
            <w:szCs w:val="24"/>
            <w:lang w:val="en-GB"/>
          </w:rPr>
          <w:tab/>
          <w:t>6</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4" w:history="1">
        <w:r w:rsidRPr="005D4D4E">
          <w:rPr>
            <w:rFonts w:ascii="TimesLT" w:hAnsi="TimesLT" w:cs="TimesLT"/>
            <w:color w:val="0000FF"/>
            <w:sz w:val="24"/>
            <w:szCs w:val="24"/>
            <w:u w:val="single"/>
            <w:lang w:val="en-GB"/>
          </w:rPr>
          <w:t>2.2. Program content</w:t>
        </w:r>
        <w:r w:rsidRPr="005D4D4E">
          <w:rPr>
            <w:rFonts w:ascii="TimesLT" w:hAnsi="TimesLT" w:cs="TimesLT"/>
            <w:sz w:val="24"/>
            <w:szCs w:val="24"/>
            <w:lang w:val="en-GB"/>
          </w:rPr>
          <w:tab/>
          <w:t>7</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5" w:history="1">
        <w:r w:rsidRPr="005D4D4E">
          <w:rPr>
            <w:rFonts w:ascii="TimesLT" w:hAnsi="TimesLT" w:cs="TimesLT"/>
            <w:color w:val="0000FF"/>
            <w:sz w:val="24"/>
            <w:szCs w:val="24"/>
            <w:u w:val="single"/>
            <w:lang w:val="en-GB"/>
          </w:rPr>
          <w:t>3.1. Staff composition and turnover</w:t>
        </w:r>
        <w:r w:rsidRPr="005D4D4E">
          <w:rPr>
            <w:rFonts w:ascii="TimesLT" w:hAnsi="TimesLT" w:cs="TimesLT"/>
            <w:sz w:val="24"/>
            <w:szCs w:val="24"/>
            <w:lang w:val="en-GB"/>
          </w:rPr>
          <w:tab/>
          <w:t>7</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6" w:history="1">
        <w:r w:rsidRPr="005D4D4E">
          <w:rPr>
            <w:rFonts w:ascii="TimesLT" w:hAnsi="TimesLT" w:cs="TimesLT"/>
            <w:color w:val="0000FF"/>
            <w:sz w:val="24"/>
            <w:szCs w:val="24"/>
            <w:u w:val="single"/>
            <w:lang w:val="en-GB"/>
          </w:rPr>
          <w:t>4.1. Facilities</w:t>
        </w:r>
        <w:r w:rsidRPr="005D4D4E">
          <w:rPr>
            <w:rFonts w:ascii="TimesLT" w:hAnsi="TimesLT" w:cs="TimesLT"/>
            <w:sz w:val="24"/>
            <w:szCs w:val="24"/>
            <w:lang w:val="en-GB"/>
          </w:rPr>
          <w:tab/>
          <w:t>8</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7" w:history="1">
        <w:r w:rsidRPr="005D4D4E">
          <w:rPr>
            <w:rFonts w:ascii="TimesLT" w:hAnsi="TimesLT" w:cs="TimesLT"/>
            <w:color w:val="0000FF"/>
            <w:sz w:val="24"/>
            <w:szCs w:val="24"/>
            <w:u w:val="single"/>
            <w:lang w:val="en-GB"/>
          </w:rPr>
          <w:t>4.2. Learning resources</w:t>
        </w:r>
        <w:r w:rsidRPr="005D4D4E">
          <w:rPr>
            <w:rFonts w:ascii="TimesLT" w:hAnsi="TimesLT" w:cs="TimesLT"/>
            <w:sz w:val="24"/>
            <w:szCs w:val="24"/>
            <w:lang w:val="en-GB"/>
          </w:rPr>
          <w:tab/>
          <w:t>9</w:t>
        </w:r>
      </w:hyperlink>
    </w:p>
    <w:p w:rsidR="005D4D4E" w:rsidRPr="005D4D4E" w:rsidRDefault="005D4D4E" w:rsidP="005D4D4E">
      <w:pPr>
        <w:autoSpaceDE w:val="0"/>
        <w:autoSpaceDN w:val="0"/>
        <w:adjustRightInd w:val="0"/>
        <w:spacing w:after="0" w:line="240" w:lineRule="auto"/>
        <w:ind w:left="240"/>
        <w:rPr>
          <w:rFonts w:ascii="TimesLT" w:hAnsi="TimesLT" w:cs="TimesLT"/>
          <w:sz w:val="24"/>
          <w:szCs w:val="24"/>
          <w:lang w:val="en-GB"/>
        </w:rPr>
      </w:pPr>
      <w:hyperlink r:id="rId18" w:history="1">
        <w:r w:rsidRPr="005D4D4E">
          <w:rPr>
            <w:rFonts w:ascii="TimesLT" w:hAnsi="TimesLT" w:cs="TimesLT"/>
            <w:color w:val="0000FF"/>
            <w:sz w:val="24"/>
            <w:szCs w:val="24"/>
            <w:u w:val="single"/>
            <w:lang w:val="en-GB"/>
          </w:rPr>
          <w:t>5. Study process and student assessment</w:t>
        </w:r>
        <w:r w:rsidRPr="005D4D4E">
          <w:rPr>
            <w:rFonts w:ascii="TimesLT" w:hAnsi="TimesLT" w:cs="TimesLT"/>
            <w:sz w:val="24"/>
            <w:szCs w:val="24"/>
            <w:lang w:val="en-GB"/>
          </w:rPr>
          <w:tab/>
          <w:t>9</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19" w:history="1">
        <w:r w:rsidRPr="005D4D4E">
          <w:rPr>
            <w:rFonts w:ascii="TimesLT" w:hAnsi="TimesLT" w:cs="TimesLT"/>
            <w:i/>
            <w:iCs/>
            <w:color w:val="0000FF"/>
            <w:sz w:val="24"/>
            <w:szCs w:val="24"/>
            <w:u w:val="single"/>
            <w:lang w:val="en-GB"/>
          </w:rPr>
          <w:t>5.2. Study process</w:t>
        </w:r>
        <w:r w:rsidRPr="005D4D4E">
          <w:rPr>
            <w:rFonts w:ascii="TimesLT" w:hAnsi="TimesLT" w:cs="TimesLT"/>
            <w:sz w:val="24"/>
            <w:szCs w:val="24"/>
            <w:lang w:val="en-GB"/>
          </w:rPr>
          <w:tab/>
          <w:t>10</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20" w:history="1">
        <w:r w:rsidRPr="005D4D4E">
          <w:rPr>
            <w:rFonts w:ascii="TimesLT" w:hAnsi="TimesLT" w:cs="TimesLT"/>
            <w:color w:val="0000FF"/>
            <w:sz w:val="24"/>
            <w:szCs w:val="24"/>
            <w:u w:val="single"/>
            <w:lang w:val="en-GB"/>
          </w:rPr>
          <w:t>5.3. Student support</w:t>
        </w:r>
        <w:r w:rsidRPr="005D4D4E">
          <w:rPr>
            <w:rFonts w:ascii="TimesLT" w:hAnsi="TimesLT" w:cs="TimesLT"/>
            <w:sz w:val="24"/>
            <w:szCs w:val="24"/>
            <w:lang w:val="en-GB"/>
          </w:rPr>
          <w:tab/>
          <w:t>11</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21" w:history="1">
        <w:r w:rsidRPr="005D4D4E">
          <w:rPr>
            <w:rFonts w:ascii="TimesLT" w:hAnsi="TimesLT" w:cs="TimesLT"/>
            <w:color w:val="0000FF"/>
            <w:sz w:val="24"/>
            <w:szCs w:val="24"/>
            <w:u w:val="single"/>
            <w:lang w:val="en-GB"/>
          </w:rPr>
          <w:t>5.5. Graduates placement</w:t>
        </w:r>
        <w:r w:rsidRPr="005D4D4E">
          <w:rPr>
            <w:rFonts w:ascii="TimesLT" w:hAnsi="TimesLT" w:cs="TimesLT"/>
            <w:sz w:val="24"/>
            <w:szCs w:val="24"/>
            <w:lang w:val="en-GB"/>
          </w:rPr>
          <w:tab/>
          <w:t>12</w:t>
        </w:r>
      </w:hyperlink>
    </w:p>
    <w:p w:rsidR="005D4D4E" w:rsidRPr="005D4D4E" w:rsidRDefault="005D4D4E" w:rsidP="005D4D4E">
      <w:pPr>
        <w:autoSpaceDE w:val="0"/>
        <w:autoSpaceDN w:val="0"/>
        <w:adjustRightInd w:val="0"/>
        <w:spacing w:after="0" w:line="240" w:lineRule="auto"/>
        <w:ind w:left="240"/>
        <w:rPr>
          <w:rFonts w:ascii="TimesLT" w:hAnsi="TimesLT" w:cs="TimesLT"/>
          <w:sz w:val="24"/>
          <w:szCs w:val="24"/>
          <w:lang w:val="en-GB"/>
        </w:rPr>
      </w:pPr>
      <w:hyperlink r:id="rId22" w:history="1">
        <w:r w:rsidRPr="005D4D4E">
          <w:rPr>
            <w:rFonts w:ascii="TimesLT" w:hAnsi="TimesLT" w:cs="TimesLT"/>
            <w:color w:val="0000FF"/>
            <w:sz w:val="24"/>
            <w:szCs w:val="24"/>
            <w:u w:val="single"/>
            <w:lang w:val="en-GB"/>
          </w:rPr>
          <w:t>6. Program management</w:t>
        </w:r>
        <w:r w:rsidRPr="005D4D4E">
          <w:rPr>
            <w:rFonts w:ascii="TimesLT" w:hAnsi="TimesLT" w:cs="TimesLT"/>
            <w:sz w:val="24"/>
            <w:szCs w:val="24"/>
            <w:lang w:val="en-GB"/>
          </w:rPr>
          <w:tab/>
          <w:t>12</w:t>
        </w:r>
      </w:hyperlink>
    </w:p>
    <w:p w:rsidR="005D4D4E" w:rsidRPr="005D4D4E" w:rsidRDefault="005D4D4E" w:rsidP="005D4D4E">
      <w:pPr>
        <w:autoSpaceDE w:val="0"/>
        <w:autoSpaceDN w:val="0"/>
        <w:adjustRightInd w:val="0"/>
        <w:spacing w:after="0" w:line="240" w:lineRule="auto"/>
        <w:ind w:left="480"/>
        <w:rPr>
          <w:rFonts w:ascii="TimesLT" w:hAnsi="TimesLT" w:cs="TimesLT"/>
          <w:sz w:val="24"/>
          <w:szCs w:val="24"/>
          <w:lang w:val="en-GB"/>
        </w:rPr>
      </w:pPr>
      <w:hyperlink r:id="rId23" w:history="1">
        <w:r w:rsidRPr="005D4D4E">
          <w:rPr>
            <w:rFonts w:ascii="TimesLT" w:hAnsi="TimesLT" w:cs="TimesLT"/>
            <w:color w:val="0000FF"/>
            <w:sz w:val="24"/>
            <w:szCs w:val="24"/>
            <w:u w:val="single"/>
            <w:lang w:val="en-GB"/>
          </w:rPr>
          <w:t>6.2. Internal quality assurance</w:t>
        </w:r>
        <w:r w:rsidRPr="005D4D4E">
          <w:rPr>
            <w:rFonts w:ascii="TimesLT" w:hAnsi="TimesLT" w:cs="TimesLT"/>
            <w:sz w:val="24"/>
            <w:szCs w:val="24"/>
            <w:lang w:val="en-GB"/>
          </w:rPr>
          <w:tab/>
          <w:t>12</w:t>
        </w:r>
      </w:hyperlink>
    </w:p>
    <w:p w:rsidR="005D4D4E" w:rsidRPr="005D4D4E" w:rsidRDefault="005D4D4E" w:rsidP="005D4D4E">
      <w:pPr>
        <w:autoSpaceDE w:val="0"/>
        <w:autoSpaceDN w:val="0"/>
        <w:adjustRightInd w:val="0"/>
        <w:spacing w:after="0" w:line="240" w:lineRule="auto"/>
        <w:rPr>
          <w:rFonts w:ascii="TimesLT" w:hAnsi="TimesLT" w:cs="TimesLT"/>
          <w:sz w:val="24"/>
          <w:szCs w:val="24"/>
          <w:lang w:val="en-GB"/>
        </w:rPr>
      </w:pPr>
      <w:hyperlink r:id="rId24" w:history="1">
        <w:r w:rsidRPr="005D4D4E">
          <w:rPr>
            <w:rFonts w:ascii="TimesLT" w:hAnsi="TimesLT" w:cs="TimesLT"/>
            <w:color w:val="0000FF"/>
            <w:sz w:val="24"/>
            <w:szCs w:val="24"/>
            <w:u w:val="single"/>
            <w:lang w:val="en-GB"/>
          </w:rPr>
          <w:t>III. RECOMMENDATIONS</w:t>
        </w:r>
        <w:r w:rsidRPr="005D4D4E">
          <w:rPr>
            <w:rFonts w:ascii="TimesLT" w:hAnsi="TimesLT" w:cs="TimesLT"/>
            <w:sz w:val="24"/>
            <w:szCs w:val="24"/>
            <w:lang w:val="en-GB"/>
          </w:rPr>
          <w:tab/>
          <w:t>13</w:t>
        </w:r>
      </w:hyperlink>
    </w:p>
    <w:p w:rsidR="005D4D4E" w:rsidRPr="005D4D4E" w:rsidRDefault="005D4D4E" w:rsidP="005D4D4E">
      <w:pPr>
        <w:autoSpaceDE w:val="0"/>
        <w:autoSpaceDN w:val="0"/>
        <w:adjustRightInd w:val="0"/>
        <w:spacing w:after="0" w:line="240" w:lineRule="auto"/>
        <w:rPr>
          <w:rFonts w:ascii="TimesLT" w:hAnsi="TimesLT" w:cs="TimesLT"/>
          <w:sz w:val="24"/>
          <w:szCs w:val="24"/>
          <w:lang w:val="en-GB"/>
        </w:rPr>
      </w:pPr>
      <w:hyperlink r:id="rId25" w:history="1">
        <w:r w:rsidRPr="005D4D4E">
          <w:rPr>
            <w:rFonts w:ascii="TimesLT" w:hAnsi="TimesLT" w:cs="TimesLT"/>
            <w:color w:val="0000FF"/>
            <w:sz w:val="24"/>
            <w:szCs w:val="24"/>
            <w:u w:val="single"/>
            <w:lang w:val="en-GB"/>
          </w:rPr>
          <w:t>IV. GENERAL ASSESSMENT</w:t>
        </w:r>
        <w:r w:rsidRPr="005D4D4E">
          <w:rPr>
            <w:rFonts w:ascii="TimesLT" w:hAnsi="TimesLT" w:cs="TimesLT"/>
            <w:sz w:val="24"/>
            <w:szCs w:val="24"/>
            <w:lang w:val="en-GB"/>
          </w:rPr>
          <w:tab/>
          <w:t>15</w:t>
        </w:r>
      </w:hyperlink>
    </w:p>
    <w:p w:rsidR="005D4D4E" w:rsidRPr="005D4D4E" w:rsidRDefault="005D4D4E" w:rsidP="005D4D4E">
      <w:pPr>
        <w:autoSpaceDE w:val="0"/>
        <w:autoSpaceDN w:val="0"/>
        <w:adjustRightInd w:val="0"/>
        <w:spacing w:after="0" w:line="240" w:lineRule="auto"/>
        <w:rPr>
          <w:rFonts w:ascii="TimesLT" w:hAnsi="TimesLT" w:cs="TimesLT"/>
          <w:b/>
          <w:bCs/>
          <w:sz w:val="24"/>
          <w:szCs w:val="24"/>
          <w:lang w:val="en-GB"/>
        </w:rPr>
      </w:pPr>
      <w:r w:rsidRPr="005D4D4E">
        <w:rPr>
          <w:rFonts w:ascii="TimesLT" w:hAnsi="TimesLT" w:cs="TimesLT"/>
          <w:b/>
          <w:bCs/>
          <w:sz w:val="24"/>
          <w:szCs w:val="24"/>
          <w:lang w:val="en-GB"/>
        </w:rPr>
        <w:br w:type="page"/>
      </w:r>
    </w:p>
    <w:p w:rsidR="005D4D4E" w:rsidRPr="005D4D4E" w:rsidRDefault="005D4D4E" w:rsidP="005D4D4E">
      <w:pPr>
        <w:autoSpaceDE w:val="0"/>
        <w:autoSpaceDN w:val="0"/>
        <w:adjustRightInd w:val="0"/>
        <w:spacing w:after="0" w:line="240" w:lineRule="auto"/>
        <w:rPr>
          <w:rFonts w:ascii="TimesLT" w:hAnsi="TimesLT" w:cs="TimesLT"/>
          <w:b/>
          <w:bCs/>
          <w:sz w:val="24"/>
          <w:szCs w:val="24"/>
          <w:lang w:val="en-GB"/>
        </w:rPr>
      </w:pPr>
      <w:r w:rsidRPr="005D4D4E">
        <w:rPr>
          <w:rFonts w:ascii="TimesLT" w:hAnsi="TimesLT" w:cs="TimesLT"/>
          <w:b/>
          <w:bCs/>
          <w:sz w:val="24"/>
          <w:szCs w:val="24"/>
          <w:lang w:val="en-GB"/>
        </w:rPr>
        <w:lastRenderedPageBreak/>
        <w:t xml:space="preserve">I. INTRODUCTION </w:t>
      </w:r>
    </w:p>
    <w:p w:rsidR="005D4D4E" w:rsidRPr="005D4D4E" w:rsidRDefault="005D4D4E" w:rsidP="005D4D4E">
      <w:pPr>
        <w:autoSpaceDE w:val="0"/>
        <w:autoSpaceDN w:val="0"/>
        <w:adjustRightInd w:val="0"/>
        <w:spacing w:after="0" w:line="240" w:lineRule="auto"/>
        <w:rPr>
          <w:rFonts w:ascii="TimesLT" w:hAnsi="TimesLT" w:cs="TimesLT"/>
          <w:b/>
          <w:bCs/>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The visiting experts hand over this Evaluation Report, based on the Self-Assessment of the General Music Didactics (GMD) Master Program in Kaunas submitted by the LMTA and on information gathered during the site visit of September 22-23, 2010 from the various bodies of the institution (administration, authors of the Self-Assessment report, staff, students, graduates and employers).  The experts found the SA clearly written with significant detail concerning the education and training of music students from recruitment and admission through the completion of studies. On behalf of the Association </w:t>
      </w:r>
      <w:proofErr w:type="spellStart"/>
      <w:r w:rsidRPr="005D4D4E">
        <w:rPr>
          <w:rFonts w:ascii="TimesLT" w:hAnsi="TimesLT" w:cs="TimesLT"/>
          <w:sz w:val="24"/>
          <w:szCs w:val="24"/>
          <w:lang w:val="en-GB"/>
        </w:rPr>
        <w:t>Européenne</w:t>
      </w:r>
      <w:proofErr w:type="spellEnd"/>
      <w:r w:rsidRPr="005D4D4E">
        <w:rPr>
          <w:rFonts w:ascii="TimesLT" w:hAnsi="TimesLT" w:cs="TimesLT"/>
          <w:sz w:val="24"/>
          <w:szCs w:val="24"/>
          <w:lang w:val="en-GB"/>
        </w:rPr>
        <w:t xml:space="preserve"> des Conservatoires, they thank the institutions submitting assessments for their welcome and the CQAHE for the careful preparation of the process.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Introduction to the GMD Master program Self-Assessment Report  gives the visiting experts a clear picture of the organizational structure of the LMTA in general and of the Self-Assessment process and its personnel in particular.  The experts note the institution’s own recommendations for improvement as a result of this self-assessment effort and will comment on them in the course of this evaluation. For methodological reasons, they will also consider this program in close relation to the General Music Didactics Bachelor program (61201M102).</w:t>
      </w: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GB"/>
        </w:rPr>
      </w:pPr>
      <w:r w:rsidRPr="005D4D4E">
        <w:rPr>
          <w:rFonts w:ascii="TimesLT" w:hAnsi="TimesLT" w:cs="TimesLT"/>
          <w:b/>
          <w:bCs/>
          <w:sz w:val="24"/>
          <w:szCs w:val="24"/>
          <w:lang w:val="en-GB"/>
        </w:rPr>
        <w:t xml:space="preserve"> </w:t>
      </w: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lang w:val="en-GB"/>
        </w:rPr>
      </w:pPr>
      <w:r w:rsidRPr="005D4D4E">
        <w:rPr>
          <w:rFonts w:ascii="TimesLT" w:hAnsi="TimesLT" w:cs="TimesLT"/>
          <w:color w:val="000000"/>
          <w:sz w:val="24"/>
          <w:szCs w:val="24"/>
          <w:lang w:val="en-GB"/>
        </w:rPr>
        <w:tab/>
      </w: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GB"/>
        </w:rPr>
      </w:pPr>
      <w:r w:rsidRPr="005D4D4E">
        <w:rPr>
          <w:rFonts w:ascii="TimesLT" w:hAnsi="TimesLT" w:cs="TimesLT"/>
          <w:b/>
          <w:bCs/>
          <w:sz w:val="24"/>
          <w:szCs w:val="24"/>
          <w:lang w:val="en-GB"/>
        </w:rPr>
        <w:t xml:space="preserve">II. PROGRAM ANALYSIS </w:t>
      </w:r>
    </w:p>
    <w:p w:rsidR="005D4D4E" w:rsidRPr="005D4D4E" w:rsidRDefault="005D4D4E" w:rsidP="005D4D4E">
      <w:pPr>
        <w:keepNext/>
        <w:autoSpaceDE w:val="0"/>
        <w:autoSpaceDN w:val="0"/>
        <w:adjustRightInd w:val="0"/>
        <w:spacing w:before="240" w:after="60" w:line="360" w:lineRule="auto"/>
        <w:jc w:val="both"/>
        <w:outlineLvl w:val="1"/>
        <w:rPr>
          <w:rFonts w:ascii="TimesLT" w:hAnsi="TimesLT" w:cs="TimesLT"/>
          <w:b/>
          <w:bCs/>
          <w:i/>
          <w:iCs/>
          <w:sz w:val="24"/>
          <w:szCs w:val="24"/>
          <w:lang w:val="en-GB"/>
        </w:rPr>
      </w:pPr>
      <w:r w:rsidRPr="005D4D4E">
        <w:rPr>
          <w:rFonts w:ascii="TimesLT" w:hAnsi="TimesLT" w:cs="TimesLT"/>
          <w:b/>
          <w:bCs/>
          <w:i/>
          <w:iCs/>
          <w:sz w:val="24"/>
          <w:szCs w:val="24"/>
          <w:lang w:val="en-GB"/>
        </w:rPr>
        <w:t xml:space="preserve">1. Program aims and learning outcomes  </w:t>
      </w: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r w:rsidRPr="005D4D4E">
        <w:rPr>
          <w:rFonts w:ascii="TimesLT" w:hAnsi="TimesLT" w:cs="TimesLT"/>
          <w:b/>
          <w:bCs/>
          <w:sz w:val="24"/>
          <w:szCs w:val="24"/>
          <w:lang w:val="en-GB"/>
        </w:rPr>
        <w:t xml:space="preserve">1.1. Program demand, purpose and aims </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 xml:space="preserve">1.1.1. Uniqueness and rationale of the need for the program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SA report states that “</w:t>
      </w:r>
      <w:r w:rsidRPr="005D4D4E">
        <w:rPr>
          <w:rFonts w:ascii="TimesLT" w:hAnsi="TimesLT" w:cs="TimesLT"/>
          <w:i/>
          <w:iCs/>
          <w:sz w:val="24"/>
          <w:szCs w:val="24"/>
          <w:lang w:val="en-GB"/>
        </w:rPr>
        <w:t xml:space="preserve">a successful completion of the second cycle studies in the General Didactics of Music and qualifications acquired provide the student with the necessary knowledge and skills to work professionally as a music teacher in secondary schools (high school/gymnasium), to lead artistic groups of pupils of all ages and compositions, work in other education-and-performance related establishments, or to continue studies. Master education opens the door for managerial careers in these establishments. Graduates are able to learn independently, </w:t>
      </w:r>
      <w:proofErr w:type="spellStart"/>
      <w:r w:rsidRPr="005D4D4E">
        <w:rPr>
          <w:rFonts w:ascii="TimesLT" w:hAnsi="TimesLT" w:cs="TimesLT"/>
          <w:i/>
          <w:iCs/>
          <w:sz w:val="24"/>
          <w:szCs w:val="24"/>
          <w:lang w:val="en-GB"/>
        </w:rPr>
        <w:t>analyze</w:t>
      </w:r>
      <w:proofErr w:type="spellEnd"/>
      <w:r w:rsidRPr="005D4D4E">
        <w:rPr>
          <w:rFonts w:ascii="TimesLT" w:hAnsi="TimesLT" w:cs="TimesLT"/>
          <w:i/>
          <w:iCs/>
          <w:sz w:val="24"/>
          <w:szCs w:val="24"/>
          <w:lang w:val="en-GB"/>
        </w:rPr>
        <w:t>, and successfully deal with professional problems.”</w:t>
      </w:r>
      <w:r w:rsidRPr="005D4D4E">
        <w:rPr>
          <w:rFonts w:ascii="TimesLT" w:hAnsi="TimesLT" w:cs="TimesLT"/>
          <w:sz w:val="24"/>
          <w:szCs w:val="24"/>
          <w:lang w:val="en-GB"/>
        </w:rPr>
        <w:t xml:space="preserve"> Nevertheless, the commission understands that the employability legal threshold for entering a pedagogical career as a school music teacher in Lithuania is the Bachelor degree; therefore a GMD Master degree may help a quicker career development in the public system without preparing to a fundamentally different profession (this report will come back to that point below). The commission also notes that few candidates have applied to this program since 2005 and all of them have been enrolled (cf. Table 1): it therefore questions the demand for the programs and the selection </w:t>
      </w:r>
      <w:proofErr w:type="spellStart"/>
      <w:r w:rsidRPr="005D4D4E">
        <w:rPr>
          <w:rFonts w:ascii="TimesLT" w:hAnsi="TimesLT" w:cs="TimesLT"/>
          <w:sz w:val="24"/>
          <w:szCs w:val="24"/>
          <w:lang w:val="en-GB"/>
        </w:rPr>
        <w:t>criterias</w:t>
      </w:r>
      <w:proofErr w:type="spellEnd"/>
      <w:r w:rsidRPr="005D4D4E">
        <w:rPr>
          <w:rFonts w:ascii="TimesLT" w:hAnsi="TimesLT" w:cs="TimesLT"/>
          <w:sz w:val="24"/>
          <w:szCs w:val="24"/>
          <w:lang w:val="en-GB"/>
        </w:rPr>
        <w:t>. Finally, the SA report notes the following distinctive traits in this program : “</w:t>
      </w:r>
      <w:r w:rsidRPr="005D4D4E">
        <w:rPr>
          <w:rFonts w:ascii="TimesLT" w:hAnsi="TimesLT" w:cs="TimesLT"/>
          <w:i/>
          <w:iCs/>
          <w:sz w:val="24"/>
          <w:szCs w:val="24"/>
          <w:lang w:val="en-GB"/>
        </w:rPr>
        <w:t>basic skills of observation, analysis, research and experimentation; generic competences and value-related attitudes; laying practical professional foundations on  the principal of integrated pedagogical-research practice; aiming for modern study content with practical applicability in professional life.”</w:t>
      </w:r>
      <w:r w:rsidRPr="005D4D4E">
        <w:rPr>
          <w:rFonts w:ascii="TimesLT" w:hAnsi="TimesLT" w:cs="TimesLT"/>
          <w:sz w:val="24"/>
          <w:szCs w:val="24"/>
          <w:lang w:val="en-GB"/>
        </w:rPr>
        <w:t xml:space="preserve"> The commission feels all these traits already well established in the GMD Bachelor program, without being entirely convinced by a significant broadening and/or deepening in the GMD Master program (see chapters 1 and 2).</w:t>
      </w:r>
    </w:p>
    <w:p w:rsidR="005D4D4E" w:rsidRPr="005D4D4E" w:rsidRDefault="005D4D4E" w:rsidP="005D4D4E">
      <w:pPr>
        <w:autoSpaceDE w:val="0"/>
        <w:autoSpaceDN w:val="0"/>
        <w:adjustRightInd w:val="0"/>
        <w:spacing w:after="0" w:line="240" w:lineRule="auto"/>
        <w:ind w:firstLine="360"/>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1.1.2. Conformity of the program purpose with institutional, state and international directives</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The SA report refers the GMD Master program to institutional (LMTA) and national regulations and to international standards (Bologna reform and EU programs and recommendations). An </w:t>
      </w:r>
      <w:r w:rsidRPr="005D4D4E">
        <w:rPr>
          <w:rFonts w:ascii="TimesLT" w:hAnsi="TimesLT" w:cs="TimesLT"/>
          <w:color w:val="000000"/>
          <w:sz w:val="24"/>
          <w:szCs w:val="24"/>
          <w:lang w:val="en-GB"/>
        </w:rPr>
        <w:lastRenderedPageBreak/>
        <w:t xml:space="preserve">overview of Music Teacher training System is also available on the AEC website (Bologna and Music). </w:t>
      </w:r>
    </w:p>
    <w:p w:rsidR="005D4D4E" w:rsidRPr="005D4D4E" w:rsidRDefault="005D4D4E" w:rsidP="005D4D4E">
      <w:pPr>
        <w:autoSpaceDE w:val="0"/>
        <w:autoSpaceDN w:val="0"/>
        <w:adjustRightInd w:val="0"/>
        <w:spacing w:after="0" w:line="240" w:lineRule="auto"/>
        <w:ind w:firstLine="360"/>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1.1.3.</w:t>
      </w:r>
      <w:r w:rsidRPr="005D4D4E">
        <w:rPr>
          <w:rFonts w:ascii="TimesLT" w:hAnsi="TimesLT" w:cs="TimesLT"/>
          <w:sz w:val="24"/>
          <w:szCs w:val="24"/>
          <w:lang w:val="en-GB"/>
        </w:rPr>
        <w:t xml:space="preserve"> </w:t>
      </w:r>
      <w:r w:rsidRPr="005D4D4E">
        <w:rPr>
          <w:rFonts w:ascii="TimesLT" w:hAnsi="TimesLT" w:cs="TimesLT"/>
          <w:i/>
          <w:iCs/>
          <w:sz w:val="24"/>
          <w:szCs w:val="24"/>
          <w:lang w:val="en-GB"/>
        </w:rPr>
        <w:t>Relevance of the program aims</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color w:val="000000"/>
          <w:sz w:val="24"/>
          <w:szCs w:val="24"/>
          <w:lang w:val="en-GB"/>
        </w:rPr>
        <w:t xml:space="preserve">Although the modular structure of the program is not fully described in the SA and needs to be reconstructed from Table 2 of the SA (elective subjects – subjects of the study field – supplementary subjects) and the Annex 3.1, the visiting experts feel it is generally in harmony with the Bologna second cycle AEC recommendations. They also note that the Master of Arts in General Music Didactics </w:t>
      </w:r>
      <w:r w:rsidRPr="005D4D4E">
        <w:rPr>
          <w:rFonts w:ascii="TimesLT" w:hAnsi="TimesLT" w:cs="TimesLT"/>
          <w:i/>
          <w:iCs/>
          <w:sz w:val="24"/>
          <w:szCs w:val="24"/>
          <w:lang w:val="en-GB"/>
        </w:rPr>
        <w:t xml:space="preserve">aims to produce highly qualified music educators for both formal and non-formal educational institutions, capable of creative programming of their activities by employing modern pedagogical and professional knowledge and musical skills, able to </w:t>
      </w:r>
      <w:proofErr w:type="spellStart"/>
      <w:r w:rsidRPr="005D4D4E">
        <w:rPr>
          <w:rFonts w:ascii="TimesLT" w:hAnsi="TimesLT" w:cs="TimesLT"/>
          <w:i/>
          <w:iCs/>
          <w:sz w:val="24"/>
          <w:szCs w:val="24"/>
          <w:lang w:val="en-GB"/>
        </w:rPr>
        <w:t>analyze</w:t>
      </w:r>
      <w:proofErr w:type="spellEnd"/>
      <w:r w:rsidRPr="005D4D4E">
        <w:rPr>
          <w:rFonts w:ascii="TimesLT" w:hAnsi="TimesLT" w:cs="TimesLT"/>
          <w:i/>
          <w:iCs/>
          <w:sz w:val="24"/>
          <w:szCs w:val="24"/>
          <w:lang w:val="en-GB"/>
        </w:rPr>
        <w:t xml:space="preserve"> learning needs and capabilities, plan, organize and evaluate learning processes and performance quality in the context of ever changing circumstances, to work individually and in teams, make their own decisions and stand accountable for their performance.</w:t>
      </w:r>
      <w:r w:rsidRPr="005D4D4E">
        <w:rPr>
          <w:rFonts w:ascii="TimesLT" w:hAnsi="TimesLT" w:cs="TimesLT"/>
          <w:sz w:val="24"/>
          <w:szCs w:val="24"/>
          <w:lang w:val="en-GB"/>
        </w:rPr>
        <w:t xml:space="preserve"> As already stated above, these very commendable aims are already partly at work in the GMD Bachelor program (especially in the 2010 revised version) and the experts recommend to rethink the Master in relation with the other pedagogical Master program of the LMTA KF and to consider also a broadening to other artistic disciplines, possibly in association with local universities (</w:t>
      </w:r>
      <w:proofErr w:type="spellStart"/>
      <w:r w:rsidRPr="005D4D4E">
        <w:rPr>
          <w:rFonts w:ascii="TimesLT" w:hAnsi="TimesLT" w:cs="TimesLT"/>
          <w:sz w:val="24"/>
          <w:szCs w:val="24"/>
          <w:lang w:val="en-GB"/>
        </w:rPr>
        <w:t>sSee</w:t>
      </w:r>
      <w:proofErr w:type="spellEnd"/>
      <w:r w:rsidRPr="005D4D4E">
        <w:rPr>
          <w:rFonts w:ascii="TimesLT" w:hAnsi="TimesLT" w:cs="TimesLT"/>
          <w:sz w:val="24"/>
          <w:szCs w:val="24"/>
          <w:lang w:val="en-GB"/>
        </w:rPr>
        <w:t xml:space="preserve"> recommendation III.3.1)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highlight w:val="cyan"/>
          <w:lang w:val="en-GB"/>
        </w:rPr>
      </w:pP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r w:rsidRPr="005D4D4E">
        <w:rPr>
          <w:rFonts w:ascii="TimesLT" w:hAnsi="TimesLT" w:cs="TimesLT"/>
          <w:b/>
          <w:bCs/>
          <w:color w:val="000000"/>
          <w:sz w:val="24"/>
          <w:szCs w:val="24"/>
          <w:lang w:val="en-GB"/>
        </w:rPr>
        <w:t xml:space="preserve"> </w:t>
      </w:r>
      <w:r w:rsidRPr="005D4D4E">
        <w:rPr>
          <w:rFonts w:ascii="TimesLT" w:hAnsi="TimesLT" w:cs="TimesLT"/>
          <w:b/>
          <w:bCs/>
          <w:sz w:val="24"/>
          <w:szCs w:val="24"/>
          <w:lang w:val="en-GB"/>
        </w:rPr>
        <w:t xml:space="preserve">1.2. Learning outcomes of the program </w:t>
      </w:r>
    </w:p>
    <w:p w:rsidR="005D4D4E" w:rsidRPr="005D4D4E" w:rsidRDefault="005D4D4E" w:rsidP="005D4D4E">
      <w:pPr>
        <w:autoSpaceDE w:val="0"/>
        <w:autoSpaceDN w:val="0"/>
        <w:adjustRightInd w:val="0"/>
        <w:spacing w:after="0" w:line="240" w:lineRule="auto"/>
        <w:jc w:val="both"/>
        <w:rPr>
          <w:rFonts w:ascii="TimesLT" w:hAnsi="TimesLT" w:cs="TimesLT"/>
          <w:i/>
          <w:iCs/>
          <w:color w:val="000000"/>
          <w:sz w:val="24"/>
          <w:szCs w:val="24"/>
          <w:lang w:val="en-GB"/>
        </w:rPr>
      </w:pPr>
      <w:r w:rsidRPr="005D4D4E">
        <w:rPr>
          <w:rFonts w:ascii="TimesLT" w:hAnsi="TimesLT" w:cs="TimesLT"/>
          <w:sz w:val="24"/>
          <w:szCs w:val="24"/>
          <w:lang w:val="en-GB"/>
        </w:rPr>
        <w:t xml:space="preserve"> </w:t>
      </w:r>
      <w:r w:rsidRPr="005D4D4E">
        <w:rPr>
          <w:rFonts w:ascii="TimesLT" w:hAnsi="TimesLT" w:cs="TimesLT"/>
          <w:i/>
          <w:iCs/>
          <w:sz w:val="24"/>
          <w:szCs w:val="24"/>
          <w:lang w:val="en-GB"/>
        </w:rPr>
        <w:t>1.2.1.</w:t>
      </w:r>
      <w:r w:rsidRPr="005D4D4E">
        <w:rPr>
          <w:rFonts w:ascii="TimesLT" w:hAnsi="TimesLT" w:cs="TimesLT"/>
          <w:i/>
          <w:iCs/>
          <w:color w:val="000000"/>
          <w:sz w:val="24"/>
          <w:szCs w:val="24"/>
          <w:lang w:val="en-GB"/>
        </w:rPr>
        <w:t xml:space="preserve"> Comprehensibility and attainability of the learning outcomes</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The SA insists on a carefully proofed balance between artistic development and pedagogical skills, deeply connected to the learning outcomes alongside six different spheres of competences: general cultural, teaching, methodological, managerial, educational policy and </w:t>
      </w:r>
      <w:proofErr w:type="spellStart"/>
      <w:r w:rsidRPr="005D4D4E">
        <w:rPr>
          <w:rFonts w:ascii="TimesLT" w:hAnsi="TimesLT" w:cs="TimesLT"/>
          <w:color w:val="000000"/>
          <w:sz w:val="24"/>
          <w:szCs w:val="24"/>
          <w:lang w:val="en-GB"/>
        </w:rPr>
        <w:t>self improvement</w:t>
      </w:r>
      <w:proofErr w:type="spellEnd"/>
      <w:r w:rsidRPr="005D4D4E">
        <w:rPr>
          <w:rFonts w:ascii="TimesLT" w:hAnsi="TimesLT" w:cs="TimesLT"/>
          <w:color w:val="000000"/>
          <w:sz w:val="24"/>
          <w:szCs w:val="24"/>
          <w:lang w:val="en-GB"/>
        </w:rPr>
        <w:t>. The Master GMD learning outcomes are described as follow in the SA:</w:t>
      </w:r>
    </w:p>
    <w:p w:rsidR="005D4D4E" w:rsidRPr="005D4D4E" w:rsidRDefault="005D4D4E" w:rsidP="005D4D4E">
      <w:pPr>
        <w:tabs>
          <w:tab w:val="left" w:pos="360"/>
        </w:tab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to teach music to learners of different ages in an interesting, modern and attractive way; to develop formal and non-formal music education programs, thematic plans with respect to learners of different age groups;</w:t>
      </w:r>
    </w:p>
    <w:p w:rsidR="005D4D4E" w:rsidRPr="005D4D4E" w:rsidRDefault="005D4D4E" w:rsidP="005D4D4E">
      <w:pPr>
        <w:tabs>
          <w:tab w:val="left" w:pos="360"/>
        </w:tabs>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color w:val="000000"/>
          <w:sz w:val="24"/>
          <w:szCs w:val="24"/>
        </w:rPr>
        <w:t>-</w:t>
      </w:r>
      <w:r w:rsidRPr="005D4D4E">
        <w:rPr>
          <w:rFonts w:ascii="Times New Roman" w:hAnsi="Times New Roman" w:cs="Times New Roman"/>
          <w:color w:val="000000"/>
          <w:sz w:val="24"/>
          <w:szCs w:val="24"/>
        </w:rPr>
        <w:tab/>
      </w:r>
      <w:r w:rsidRPr="005D4D4E">
        <w:rPr>
          <w:rFonts w:ascii="TimesLT" w:hAnsi="TimesLT" w:cs="TimesLT"/>
          <w:i/>
          <w:iCs/>
          <w:color w:val="000000"/>
          <w:sz w:val="24"/>
          <w:szCs w:val="24"/>
          <w:lang w:val="en-GB"/>
        </w:rPr>
        <w:t>to build an emotional environment appropriate for the development of learner's artistic expression, and foster learner’s initiative and  creativity;</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color w:val="000000"/>
          <w:sz w:val="24"/>
          <w:szCs w:val="24"/>
        </w:rPr>
        <w:t>-</w:t>
      </w:r>
      <w:r w:rsidRPr="005D4D4E">
        <w:rPr>
          <w:rFonts w:ascii="Times New Roman" w:hAnsi="Times New Roman" w:cs="Times New Roman"/>
          <w:color w:val="000000"/>
          <w:sz w:val="24"/>
          <w:szCs w:val="24"/>
        </w:rPr>
        <w:tab/>
      </w:r>
      <w:r w:rsidRPr="005D4D4E">
        <w:rPr>
          <w:rFonts w:ascii="TimesLT" w:hAnsi="TimesLT" w:cs="TimesLT"/>
          <w:i/>
          <w:iCs/>
          <w:color w:val="000000"/>
          <w:sz w:val="24"/>
          <w:szCs w:val="24"/>
          <w:lang w:val="en-GB"/>
        </w:rPr>
        <w:t>to combine formal, informal and incentive types of assessment of achievements in the music subject, and foster artistic self-development in learners;</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color w:val="000000"/>
          <w:sz w:val="24"/>
          <w:szCs w:val="24"/>
        </w:rPr>
        <w:t>-</w:t>
      </w:r>
      <w:r w:rsidRPr="005D4D4E">
        <w:rPr>
          <w:rFonts w:ascii="Times New Roman" w:hAnsi="Times New Roman" w:cs="Times New Roman"/>
          <w:color w:val="000000"/>
          <w:sz w:val="24"/>
          <w:szCs w:val="24"/>
        </w:rPr>
        <w:tab/>
      </w:r>
      <w:r w:rsidRPr="005D4D4E">
        <w:rPr>
          <w:rFonts w:ascii="TimesLT" w:hAnsi="TimesLT" w:cs="TimesLT"/>
          <w:i/>
          <w:iCs/>
          <w:color w:val="000000"/>
          <w:sz w:val="24"/>
          <w:szCs w:val="24"/>
          <w:lang w:val="en-GB"/>
        </w:rPr>
        <w:t>to apply mainstream as well as alternative music education features in the classroom;</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 xml:space="preserve">to identify and </w:t>
      </w:r>
      <w:proofErr w:type="spellStart"/>
      <w:r w:rsidRPr="005D4D4E">
        <w:rPr>
          <w:rFonts w:ascii="TimesLT" w:hAnsi="TimesLT" w:cs="TimesLT"/>
          <w:i/>
          <w:iCs/>
          <w:sz w:val="24"/>
          <w:szCs w:val="24"/>
          <w:lang w:val="en-GB"/>
        </w:rPr>
        <w:t>analyze</w:t>
      </w:r>
      <w:proofErr w:type="spellEnd"/>
      <w:r w:rsidRPr="005D4D4E">
        <w:rPr>
          <w:rFonts w:ascii="TimesLT" w:hAnsi="TimesLT" w:cs="TimesLT"/>
          <w:i/>
          <w:iCs/>
          <w:sz w:val="24"/>
          <w:szCs w:val="24"/>
          <w:lang w:val="en-GB"/>
        </w:rPr>
        <w:t xml:space="preserve"> learners' music </w:t>
      </w:r>
      <w:r w:rsidRPr="005D4D4E">
        <w:rPr>
          <w:rFonts w:ascii="TimesLT" w:hAnsi="TimesLT" w:cs="TimesLT"/>
          <w:i/>
          <w:iCs/>
          <w:color w:val="000000"/>
          <w:sz w:val="24"/>
          <w:szCs w:val="24"/>
          <w:lang w:val="en-GB"/>
        </w:rPr>
        <w:t>training needs (in the broad sense)</w:t>
      </w:r>
      <w:r w:rsidRPr="005D4D4E">
        <w:rPr>
          <w:rFonts w:ascii="TimesLT" w:hAnsi="TimesLT" w:cs="TimesLT"/>
          <w:i/>
          <w:iCs/>
          <w:sz w:val="24"/>
          <w:szCs w:val="24"/>
          <w:lang w:val="en-GB"/>
        </w:rPr>
        <w:t xml:space="preserve"> and capabilities; based on scientific research methods, to develop individual learning programs, make plans,  arrange for and evaluate musical development in learners of all ages as well as learning processes and  performance quality;</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color w:val="000000"/>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 xml:space="preserve"> to organize formal and non-formal music education (choral activities,</w:t>
      </w:r>
      <w:r w:rsidRPr="005D4D4E">
        <w:rPr>
          <w:rFonts w:ascii="TimesLT" w:hAnsi="TimesLT" w:cs="TimesLT"/>
          <w:i/>
          <w:iCs/>
          <w:color w:val="000000"/>
          <w:sz w:val="24"/>
          <w:szCs w:val="24"/>
          <w:lang w:val="en-GB"/>
        </w:rPr>
        <w:t xml:space="preserve"> vocal performance and instrumental music activities) at various types of education institutions;</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to make use of information communication technologies in teaching music;</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to develop and implement a variety of musical projects;</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to integrate and collaborate with representatives of other professions in a variety of contexts with a view to pursuing key objectives in pedagogical activity;</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to critically evaluate personal artistic and educational activities, develop musical expression, expand world outlook, and learn autonomously;</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to know teaching principles and techniques of different modes, music education theory, music education problems and methods with respect to learners with special needs;</w:t>
      </w:r>
    </w:p>
    <w:p w:rsidR="005D4D4E" w:rsidRPr="005D4D4E" w:rsidRDefault="005D4D4E" w:rsidP="005D4D4E">
      <w:pPr>
        <w:suppressAutoHyphens/>
        <w:autoSpaceDE w:val="0"/>
        <w:autoSpaceDN w:val="0"/>
        <w:adjustRightInd w:val="0"/>
        <w:spacing w:after="0" w:line="240" w:lineRule="auto"/>
        <w:ind w:left="360" w:hanging="360"/>
        <w:jc w:val="both"/>
        <w:rPr>
          <w:rFonts w:ascii="TimesLT" w:hAnsi="TimesLT" w:cs="TimesLT"/>
          <w:i/>
          <w:iCs/>
          <w:sz w:val="24"/>
          <w:szCs w:val="24"/>
          <w:lang w:val="en-GB"/>
        </w:rPr>
      </w:pPr>
      <w:r w:rsidRPr="005D4D4E">
        <w:rPr>
          <w:rFonts w:ascii="Times New Roman" w:hAnsi="Times New Roman" w:cs="Times New Roman"/>
          <w:sz w:val="24"/>
          <w:szCs w:val="24"/>
        </w:rPr>
        <w:t>-</w:t>
      </w:r>
      <w:r w:rsidRPr="005D4D4E">
        <w:rPr>
          <w:rFonts w:ascii="Times New Roman" w:hAnsi="Times New Roman" w:cs="Times New Roman"/>
          <w:sz w:val="24"/>
          <w:szCs w:val="24"/>
        </w:rPr>
        <w:tab/>
      </w:r>
      <w:r w:rsidRPr="005D4D4E">
        <w:rPr>
          <w:rFonts w:ascii="TimesLT" w:hAnsi="TimesLT" w:cs="TimesLT"/>
          <w:i/>
          <w:iCs/>
          <w:sz w:val="24"/>
          <w:szCs w:val="24"/>
          <w:lang w:val="en-GB"/>
        </w:rPr>
        <w:t xml:space="preserve">to be able to work responsibly, plan and organize </w:t>
      </w:r>
      <w:r w:rsidRPr="005D4D4E">
        <w:rPr>
          <w:rFonts w:ascii="TimesLT" w:hAnsi="TimesLT" w:cs="TimesLT"/>
          <w:i/>
          <w:iCs/>
          <w:color w:val="000000"/>
          <w:sz w:val="24"/>
          <w:szCs w:val="24"/>
          <w:lang w:val="en-GB"/>
        </w:rPr>
        <w:t>work</w:t>
      </w:r>
      <w:r w:rsidRPr="005D4D4E">
        <w:rPr>
          <w:rFonts w:ascii="TimesLT" w:hAnsi="TimesLT" w:cs="TimesLT"/>
          <w:i/>
          <w:iCs/>
          <w:sz w:val="24"/>
          <w:szCs w:val="24"/>
          <w:lang w:val="en-GB"/>
        </w:rPr>
        <w:t xml:space="preserve"> independently</w:t>
      </w:r>
      <w:r w:rsidRPr="005D4D4E">
        <w:rPr>
          <w:rFonts w:ascii="TimesLT" w:hAnsi="TimesLT" w:cs="TimesLT"/>
          <w:i/>
          <w:iCs/>
          <w:color w:val="000000"/>
          <w:sz w:val="24"/>
          <w:szCs w:val="24"/>
          <w:lang w:val="en-GB"/>
        </w:rPr>
        <w:t>, promote learner interaction and collaboration, to maintain professional communication with learners’ parents.</w:t>
      </w:r>
    </w:p>
    <w:p w:rsidR="005D4D4E" w:rsidRPr="005D4D4E" w:rsidRDefault="005D4D4E" w:rsidP="005D4D4E">
      <w:pPr>
        <w:suppressAutoHyphens/>
        <w:autoSpaceDE w:val="0"/>
        <w:autoSpaceDN w:val="0"/>
        <w:adjustRightInd w:val="0"/>
        <w:spacing w:after="0" w:line="240" w:lineRule="auto"/>
        <w:jc w:val="both"/>
        <w:rPr>
          <w:rFonts w:ascii="TimesLT" w:hAnsi="TimesLT" w:cs="TimesLT"/>
          <w:i/>
          <w:iCs/>
          <w:color w:val="000000"/>
          <w:sz w:val="24"/>
          <w:szCs w:val="24"/>
          <w:lang w:val="en-GB"/>
        </w:rPr>
      </w:pPr>
      <w:r w:rsidRPr="005D4D4E">
        <w:rPr>
          <w:rFonts w:ascii="TimesLT" w:hAnsi="TimesLT" w:cs="TimesLT"/>
          <w:sz w:val="24"/>
          <w:szCs w:val="24"/>
          <w:lang w:val="en-GB"/>
        </w:rPr>
        <w:lastRenderedPageBreak/>
        <w:t>Although the complexity level of the learning outcomes is characteristic for a Master cycle program, the experts see most of these objectives already well implemented in the GMD Bachelor program, with the exception of alternative methods, communication technologies (taught in the 2010 GMD Bachelor program) and teaching methods for learners with special needs, which raises the issue of the articulation between the first and second cycles (see 1.2.2).</w:t>
      </w:r>
    </w:p>
    <w:p w:rsidR="005D4D4E" w:rsidRPr="005D4D4E" w:rsidRDefault="005D4D4E" w:rsidP="005D4D4E">
      <w:pPr>
        <w:autoSpaceDE w:val="0"/>
        <w:autoSpaceDN w:val="0"/>
        <w:adjustRightInd w:val="0"/>
        <w:spacing w:after="0" w:line="240" w:lineRule="auto"/>
        <w:ind w:firstLine="360"/>
        <w:jc w:val="both"/>
        <w:rPr>
          <w:rFonts w:ascii="TimesLT" w:hAnsi="TimesLT" w:cs="TimesLT"/>
          <w:color w:val="000000"/>
          <w:sz w:val="24"/>
          <w:szCs w:val="24"/>
          <w:highlight w:val="cyan"/>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1.2.2. Consistency of the learning outcomes</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A comparison between the study plans of the 2007-9 GMD Master </w:t>
      </w:r>
      <w:proofErr w:type="gramStart"/>
      <w:r w:rsidRPr="005D4D4E">
        <w:rPr>
          <w:rFonts w:ascii="TimesLT" w:hAnsi="TimesLT" w:cs="TimesLT"/>
          <w:color w:val="000000"/>
          <w:sz w:val="24"/>
          <w:szCs w:val="24"/>
          <w:lang w:val="en-GB"/>
        </w:rPr>
        <w:t>program</w:t>
      </w:r>
      <w:proofErr w:type="gramEnd"/>
      <w:r w:rsidRPr="005D4D4E">
        <w:rPr>
          <w:rFonts w:ascii="TimesLT" w:hAnsi="TimesLT" w:cs="TimesLT"/>
          <w:color w:val="000000"/>
          <w:sz w:val="24"/>
          <w:szCs w:val="24"/>
          <w:lang w:val="en-GB"/>
        </w:rPr>
        <w:t xml:space="preserve"> and the 2010 GMD Bachelor program shows a shift of several teaching units from Master to Bachelor cycle, such as Didactics and Organisation and Management of Musical training. The SA for the GMD Bachelor program also aims to pay more attention </w:t>
      </w:r>
      <w:r w:rsidRPr="005D4D4E">
        <w:rPr>
          <w:rFonts w:ascii="TimesLT" w:hAnsi="TimesLT" w:cs="TimesLT"/>
          <w:i/>
          <w:iCs/>
          <w:color w:val="000000"/>
          <w:sz w:val="24"/>
          <w:szCs w:val="24"/>
          <w:lang w:val="en-GB"/>
        </w:rPr>
        <w:t>to individual performance of music, teaching choral conducting and the development of the practical activity during the music class</w:t>
      </w:r>
      <w:r w:rsidRPr="005D4D4E">
        <w:rPr>
          <w:rFonts w:ascii="TimesLT" w:hAnsi="TimesLT" w:cs="TimesLT"/>
          <w:color w:val="000000"/>
          <w:sz w:val="24"/>
          <w:szCs w:val="24"/>
          <w:lang w:val="en-GB"/>
        </w:rPr>
        <w:t xml:space="preserve">. This process leads to an interesting strengthening of the first cycle program on both artistic and pedagogical sides, but also raises questions about its relation with the second (Master) cycle.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The SA defines the main aim of the GMD Master program as follow : </w:t>
      </w:r>
      <w:r w:rsidRPr="005D4D4E">
        <w:rPr>
          <w:rFonts w:ascii="TimesLT" w:hAnsi="TimesLT" w:cs="TimesLT"/>
          <w:i/>
          <w:iCs/>
          <w:color w:val="000000"/>
          <w:sz w:val="24"/>
          <w:szCs w:val="24"/>
          <w:lang w:val="en-GB"/>
        </w:rPr>
        <w:t xml:space="preserve">preparation of a highly qualified music educator both for formal and non-formal education institutions, ready to creatively organize educational process, and apply modern pedagogical knowledge and professional musical competencies, to </w:t>
      </w:r>
      <w:proofErr w:type="spellStart"/>
      <w:r w:rsidRPr="005D4D4E">
        <w:rPr>
          <w:rFonts w:ascii="TimesLT" w:hAnsi="TimesLT" w:cs="TimesLT"/>
          <w:i/>
          <w:iCs/>
          <w:color w:val="000000"/>
          <w:sz w:val="24"/>
          <w:szCs w:val="24"/>
          <w:lang w:val="en-GB"/>
        </w:rPr>
        <w:t>analyze</w:t>
      </w:r>
      <w:proofErr w:type="spellEnd"/>
      <w:r w:rsidRPr="005D4D4E">
        <w:rPr>
          <w:rFonts w:ascii="TimesLT" w:hAnsi="TimesLT" w:cs="TimesLT"/>
          <w:i/>
          <w:iCs/>
          <w:color w:val="000000"/>
          <w:sz w:val="24"/>
          <w:szCs w:val="24"/>
          <w:lang w:val="en-GB"/>
        </w:rPr>
        <w:t xml:space="preserve"> learning needs and capabilities of learners; able to plan, organize and evaluate educational processes and their quality in the context of ever changing circumstances; having critical approach towards scientific-educational theories, and capable of  building a concept of personal development.  </w:t>
      </w:r>
      <w:r w:rsidRPr="005D4D4E">
        <w:rPr>
          <w:rFonts w:ascii="TimesLT" w:hAnsi="TimesLT" w:cs="TimesLT"/>
          <w:color w:val="000000"/>
          <w:sz w:val="24"/>
          <w:szCs w:val="24"/>
          <w:lang w:val="en-GB"/>
        </w:rPr>
        <w:t>The experts see this aim already nearly completed in the GMD Bachelor program and suggest, as stated above, to think about a broader perspective for the Master level (see recommendation III.3.1)</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highlight w:val="cyan"/>
          <w:lang w:val="en-GB"/>
        </w:rPr>
      </w:pPr>
    </w:p>
    <w:p w:rsidR="005D4D4E" w:rsidRPr="005D4D4E" w:rsidRDefault="005D4D4E" w:rsidP="005D4D4E">
      <w:pPr>
        <w:autoSpaceDE w:val="0"/>
        <w:autoSpaceDN w:val="0"/>
        <w:adjustRightInd w:val="0"/>
        <w:spacing w:after="0" w:line="240" w:lineRule="auto"/>
        <w:ind w:firstLine="360"/>
        <w:jc w:val="both"/>
        <w:rPr>
          <w:rFonts w:ascii="TimesLT" w:hAnsi="TimesLT" w:cs="TimesLT"/>
          <w:color w:val="000000"/>
          <w:sz w:val="24"/>
          <w:szCs w:val="24"/>
          <w:highlight w:val="cyan"/>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color w:val="000000"/>
          <w:sz w:val="24"/>
          <w:szCs w:val="24"/>
          <w:lang w:val="en-GB"/>
        </w:rPr>
      </w:pPr>
      <w:r w:rsidRPr="005D4D4E">
        <w:rPr>
          <w:rFonts w:ascii="TimesLT" w:hAnsi="TimesLT" w:cs="TimesLT"/>
          <w:i/>
          <w:iCs/>
          <w:color w:val="000000"/>
          <w:sz w:val="24"/>
          <w:szCs w:val="24"/>
          <w:lang w:val="en-GB"/>
        </w:rPr>
        <w:t>1.2.3.</w:t>
      </w:r>
      <w:r w:rsidRPr="005D4D4E">
        <w:rPr>
          <w:rFonts w:ascii="TimesLT" w:hAnsi="TimesLT" w:cs="TimesLT"/>
          <w:i/>
          <w:iCs/>
          <w:sz w:val="24"/>
          <w:szCs w:val="24"/>
          <w:lang w:val="en-GB"/>
        </w:rPr>
        <w:t xml:space="preserve"> Transformation of the learning outcomes</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assessment description makes clear that the GMD Bachelor program is constantly evaluated and checked. Its special position in the LMTA – leading to a state regulated profession - also helps the various stakeholders to take an active part in the renewal process, as the commission could see during the site visit.</w:t>
      </w:r>
    </w:p>
    <w:p w:rsidR="005D4D4E" w:rsidRPr="005D4D4E" w:rsidRDefault="005D4D4E" w:rsidP="005D4D4E">
      <w:pPr>
        <w:keepNext/>
        <w:autoSpaceDE w:val="0"/>
        <w:autoSpaceDN w:val="0"/>
        <w:adjustRightInd w:val="0"/>
        <w:spacing w:before="240" w:after="60" w:line="360" w:lineRule="auto"/>
        <w:jc w:val="both"/>
        <w:outlineLvl w:val="1"/>
        <w:rPr>
          <w:rFonts w:ascii="TimesLT" w:hAnsi="TimesLT" w:cs="TimesLT"/>
          <w:b/>
          <w:bCs/>
          <w:i/>
          <w:iCs/>
          <w:sz w:val="24"/>
          <w:szCs w:val="24"/>
          <w:lang w:val="en-GB"/>
        </w:rPr>
      </w:pPr>
      <w:r w:rsidRPr="005D4D4E">
        <w:rPr>
          <w:rFonts w:ascii="TimesLT" w:hAnsi="TimesLT" w:cs="TimesLT"/>
          <w:b/>
          <w:bCs/>
          <w:i/>
          <w:iCs/>
          <w:sz w:val="24"/>
          <w:szCs w:val="24"/>
          <w:lang w:val="en-GB"/>
        </w:rPr>
        <w:t xml:space="preserve">2. Curriculum design  </w:t>
      </w: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r w:rsidRPr="005D4D4E">
        <w:rPr>
          <w:rFonts w:ascii="TimesLT" w:hAnsi="TimesLT" w:cs="TimesLT"/>
          <w:b/>
          <w:bCs/>
          <w:sz w:val="24"/>
          <w:szCs w:val="24"/>
          <w:lang w:val="en-GB"/>
        </w:rPr>
        <w:t xml:space="preserve"> 2.1. Program structure   </w:t>
      </w:r>
    </w:p>
    <w:p w:rsidR="005D4D4E" w:rsidRPr="005D4D4E" w:rsidRDefault="005D4D4E" w:rsidP="005D4D4E">
      <w:pPr>
        <w:autoSpaceDE w:val="0"/>
        <w:autoSpaceDN w:val="0"/>
        <w:adjustRightInd w:val="0"/>
        <w:spacing w:after="0" w:line="240" w:lineRule="auto"/>
        <w:jc w:val="both"/>
        <w:rPr>
          <w:rFonts w:ascii="TimesLT" w:hAnsi="TimesLT" w:cs="TimesLT"/>
          <w:b/>
          <w:bCs/>
          <w:color w:val="000000"/>
          <w:sz w:val="24"/>
          <w:szCs w:val="24"/>
          <w:lang w:val="en-GB"/>
        </w:rPr>
      </w:pPr>
      <w:r w:rsidRPr="005D4D4E">
        <w:rPr>
          <w:rFonts w:ascii="TimesLT" w:hAnsi="TimesLT" w:cs="TimesLT"/>
          <w:i/>
          <w:iCs/>
          <w:sz w:val="24"/>
          <w:szCs w:val="24"/>
          <w:lang w:val="en-GB"/>
        </w:rPr>
        <w:t xml:space="preserve"> 2.1.1.</w:t>
      </w:r>
      <w:r w:rsidRPr="005D4D4E">
        <w:rPr>
          <w:rFonts w:ascii="TimesLT" w:hAnsi="TimesLT" w:cs="TimesLT"/>
          <w:i/>
          <w:iCs/>
          <w:color w:val="000000"/>
          <w:sz w:val="24"/>
          <w:szCs w:val="24"/>
          <w:lang w:val="en-GB"/>
        </w:rPr>
        <w:t xml:space="preserve"> Sufficiency of the study volume</w:t>
      </w:r>
    </w:p>
    <w:p w:rsidR="005D4D4E" w:rsidRPr="005D4D4E" w:rsidRDefault="005D4D4E" w:rsidP="005D4D4E">
      <w:pPr>
        <w:autoSpaceDE w:val="0"/>
        <w:autoSpaceDN w:val="0"/>
        <w:adjustRightInd w:val="0"/>
        <w:spacing w:after="0" w:line="240" w:lineRule="auto"/>
        <w:rPr>
          <w:rFonts w:ascii="TimesLT" w:hAnsi="TimesLT" w:cs="TimesLT"/>
          <w:color w:val="000000"/>
          <w:sz w:val="24"/>
          <w:szCs w:val="24"/>
          <w:lang w:val="en-GB"/>
        </w:rPr>
      </w:pPr>
      <w:r w:rsidRPr="005D4D4E">
        <w:rPr>
          <w:rFonts w:ascii="TimesLT" w:hAnsi="TimesLT" w:cs="TimesLT"/>
          <w:color w:val="000000"/>
          <w:sz w:val="24"/>
          <w:szCs w:val="24"/>
          <w:lang w:val="en-GB"/>
        </w:rPr>
        <w:t xml:space="preserve">The detailed examination of the study program offers evidence it is in compliance with the relevant legal acts in terms of balance and volume of pedagogical training, musical competences and general education. The experts note that it </w:t>
      </w:r>
      <w:r w:rsidRPr="005D4D4E">
        <w:rPr>
          <w:rFonts w:ascii="TimesLT" w:hAnsi="TimesLT" w:cs="TimesLT"/>
          <w:i/>
          <w:iCs/>
          <w:color w:val="000000"/>
          <w:sz w:val="24"/>
          <w:szCs w:val="24"/>
          <w:lang w:val="en-GB"/>
        </w:rPr>
        <w:t xml:space="preserve">require a relatively high level of musical talent and practical skills </w:t>
      </w:r>
      <w:r w:rsidRPr="005D4D4E">
        <w:rPr>
          <w:rFonts w:ascii="TimesLT" w:hAnsi="TimesLT" w:cs="TimesLT"/>
          <w:color w:val="000000"/>
          <w:sz w:val="24"/>
          <w:szCs w:val="24"/>
          <w:lang w:val="en-GB"/>
        </w:rPr>
        <w:t>and recommend to be more precise on this matter, in relation with the skills already reached at the GMD bachelor level. The AEC documentation might be useful in this process (</w:t>
      </w:r>
      <w:hyperlink r:id="rId26" w:history="1">
        <w:r w:rsidRPr="005D4D4E">
          <w:rPr>
            <w:rFonts w:ascii="TimesLT" w:hAnsi="TimesLT" w:cs="TimesLT"/>
            <w:color w:val="0000FF"/>
            <w:sz w:val="24"/>
            <w:szCs w:val="24"/>
            <w:u w:val="single"/>
            <w:lang w:val="en-GB"/>
          </w:rPr>
          <w:t>www.bologna-and-music.org</w:t>
        </w:r>
      </w:hyperlink>
      <w:r w:rsidRPr="005D4D4E">
        <w:rPr>
          <w:rFonts w:ascii="TimesLT" w:hAnsi="TimesLT" w:cs="TimesLT"/>
          <w:color w:val="000000"/>
          <w:sz w:val="24"/>
          <w:szCs w:val="24"/>
          <w:lang w:val="en-GB"/>
        </w:rPr>
        <w:t xml:space="preserve"> and </w:t>
      </w:r>
      <w:hyperlink r:id="rId27" w:history="1">
        <w:r w:rsidRPr="005D4D4E">
          <w:rPr>
            <w:rFonts w:ascii="TimesLT" w:hAnsi="TimesLT" w:cs="TimesLT"/>
            <w:color w:val="0000FF"/>
            <w:sz w:val="24"/>
            <w:szCs w:val="24"/>
            <w:u w:val="single"/>
            <w:lang w:val="en-GB"/>
          </w:rPr>
          <w:t>www.polifonia-tn.org</w:t>
        </w:r>
      </w:hyperlink>
      <w:r w:rsidRPr="005D4D4E">
        <w:rPr>
          <w:rFonts w:ascii="TimesLT" w:hAnsi="TimesLT" w:cs="TimesLT"/>
          <w:color w:val="000000"/>
          <w:sz w:val="24"/>
          <w:szCs w:val="24"/>
          <w:lang w:val="en-GB"/>
        </w:rPr>
        <w:t>) (see recommendation III.3.2).</w:t>
      </w:r>
    </w:p>
    <w:p w:rsidR="005D4D4E" w:rsidRPr="005D4D4E" w:rsidRDefault="005D4D4E" w:rsidP="005D4D4E">
      <w:pPr>
        <w:autoSpaceDE w:val="0"/>
        <w:autoSpaceDN w:val="0"/>
        <w:adjustRightInd w:val="0"/>
        <w:spacing w:after="0" w:line="240" w:lineRule="auto"/>
        <w:rPr>
          <w:rFonts w:ascii="TimesLT" w:hAnsi="TimesLT" w:cs="TimesLT"/>
          <w:color w:val="000000"/>
          <w:sz w:val="24"/>
          <w:szCs w:val="24"/>
          <w:highlight w:val="cyan"/>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color w:val="000000"/>
          <w:sz w:val="24"/>
          <w:szCs w:val="24"/>
          <w:lang w:val="en-GB"/>
        </w:rPr>
        <w:t>2.1.2.</w:t>
      </w:r>
      <w:r w:rsidRPr="005D4D4E">
        <w:rPr>
          <w:rFonts w:ascii="TimesLT" w:hAnsi="TimesLT" w:cs="TimesLT"/>
          <w:i/>
          <w:iCs/>
          <w:sz w:val="24"/>
          <w:szCs w:val="24"/>
          <w:lang w:val="en-GB"/>
        </w:rPr>
        <w:t xml:space="preserve"> Consistency of the study subjects</w:t>
      </w:r>
    </w:p>
    <w:p w:rsidR="005D4D4E" w:rsidRPr="005D4D4E" w:rsidRDefault="005D4D4E" w:rsidP="005D4D4E">
      <w:pPr>
        <w:autoSpaceDE w:val="0"/>
        <w:autoSpaceDN w:val="0"/>
        <w:adjustRightInd w:val="0"/>
        <w:spacing w:after="0" w:line="240" w:lineRule="auto"/>
        <w:jc w:val="both"/>
        <w:rPr>
          <w:rFonts w:ascii="TimesLT" w:hAnsi="TimesLT" w:cs="TimesLT"/>
          <w:color w:val="FF0000"/>
          <w:sz w:val="24"/>
          <w:szCs w:val="24"/>
          <w:lang w:val="en-GB"/>
        </w:rPr>
      </w:pPr>
      <w:r w:rsidRPr="005D4D4E">
        <w:rPr>
          <w:rFonts w:ascii="TimesLT" w:hAnsi="TimesLT" w:cs="TimesLT"/>
          <w:color w:val="000000"/>
          <w:sz w:val="24"/>
          <w:szCs w:val="24"/>
          <w:lang w:val="en-GB"/>
        </w:rPr>
        <w:t>As stated in the SA report,</w:t>
      </w:r>
      <w:r w:rsidRPr="005D4D4E">
        <w:rPr>
          <w:rFonts w:ascii="TimesLT" w:hAnsi="TimesLT" w:cs="TimesLT"/>
          <w:i/>
          <w:iCs/>
          <w:color w:val="000000"/>
          <w:sz w:val="24"/>
          <w:szCs w:val="24"/>
          <w:lang w:val="en-GB"/>
        </w:rPr>
        <w:t xml:space="preserve"> </w:t>
      </w:r>
      <w:r w:rsidRPr="005D4D4E">
        <w:rPr>
          <w:rFonts w:ascii="TimesLT" w:hAnsi="TimesLT" w:cs="TimesLT"/>
          <w:i/>
          <w:iCs/>
          <w:sz w:val="24"/>
          <w:szCs w:val="24"/>
          <w:lang w:val="en-GB"/>
        </w:rPr>
        <w:t xml:space="preserve">the subjects of the studies fall into the following two categories: the in-depth and applied subjects, which may be freely selected. Due to the specificity of the Program, the vast majority of the subjects (in-depth) bare a compulsory character (see Annex 3.1), they are obligatory to be taken and tested in an examination. The basic criterion for the obligation is the development of general cultural, musical, educational, managerial competencies and practical </w:t>
      </w:r>
      <w:r w:rsidRPr="005D4D4E">
        <w:rPr>
          <w:rFonts w:ascii="TimesLT" w:hAnsi="TimesLT" w:cs="TimesLT"/>
          <w:i/>
          <w:iCs/>
          <w:sz w:val="24"/>
          <w:szCs w:val="24"/>
          <w:lang w:val="en-GB"/>
        </w:rPr>
        <w:lastRenderedPageBreak/>
        <w:t>skills, as well as the provision of psychological knowledge. While purposefully choosing freely selected subjects, students have a possibility of shaping the specificity of the desired qualifications. Freely selected subjects provide for a possibility of expanding music teacher’s activities and additional competencies (opera drama, dance, stage movement, etc.)</w:t>
      </w:r>
      <w:r w:rsidRPr="005D4D4E">
        <w:rPr>
          <w:rFonts w:ascii="TimesLT" w:hAnsi="TimesLT" w:cs="TimesLT"/>
          <w:sz w:val="24"/>
          <w:szCs w:val="24"/>
          <w:lang w:val="en-GB"/>
        </w:rPr>
        <w:t xml:space="preserve">. The commission recommends rethinking the balance between in-depth and applied subjects, in order to pay a better tribute to the student’s personal aims and projects on a second cycle level and leading to broaden up the artistic and pedagogical application fields (see recommendation III.3.2).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r w:rsidRPr="005D4D4E">
        <w:rPr>
          <w:rFonts w:ascii="TimesLT" w:hAnsi="TimesLT" w:cs="TimesLT"/>
          <w:b/>
          <w:bCs/>
          <w:sz w:val="24"/>
          <w:szCs w:val="24"/>
          <w:lang w:val="en-GB"/>
        </w:rPr>
        <w:t xml:space="preserve"> 2.2. Program content</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 </w:t>
      </w:r>
      <w:r w:rsidRPr="005D4D4E">
        <w:rPr>
          <w:rFonts w:ascii="TimesLT" w:hAnsi="TimesLT" w:cs="TimesLT"/>
          <w:i/>
          <w:iCs/>
          <w:sz w:val="24"/>
          <w:szCs w:val="24"/>
          <w:lang w:val="en-GB"/>
        </w:rPr>
        <w:t>2.2.1. Compliance of the contents of the studies with legal acts</w:t>
      </w:r>
    </w:p>
    <w:p w:rsidR="005D4D4E" w:rsidRPr="005D4D4E" w:rsidRDefault="005D4D4E" w:rsidP="005D4D4E">
      <w:pPr>
        <w:autoSpaceDE w:val="0"/>
        <w:autoSpaceDN w:val="0"/>
        <w:adjustRightInd w:val="0"/>
        <w:spacing w:after="0" w:line="240" w:lineRule="auto"/>
        <w:jc w:val="both"/>
        <w:rPr>
          <w:rFonts w:ascii="TimesLT" w:hAnsi="TimesLT" w:cs="TimesLT"/>
          <w:sz w:val="20"/>
          <w:szCs w:val="20"/>
          <w:lang w:val="en-GB"/>
        </w:rPr>
      </w:pPr>
      <w:r w:rsidRPr="005D4D4E">
        <w:rPr>
          <w:rFonts w:ascii="TimesLT" w:hAnsi="TimesLT" w:cs="TimesLT"/>
          <w:sz w:val="24"/>
          <w:szCs w:val="24"/>
          <w:lang w:val="en-GB"/>
        </w:rPr>
        <w:t xml:space="preserve">According to the submitted self-assessment material and information obtained during the site visit, the experts understand that the General Music Didactics study program is generally consistent with "General requirements for study programs" confirmed by Minister of Education and Science on July 22, 2005, Order No. 1551. The study plan includes 5 subjects per semester what is in correlation with the requirements. The program is 80 credits, where 74 credits or 92% are of deepening level subjects (requirement is minimum 80%) and 6 credits are of </w:t>
      </w:r>
      <w:proofErr w:type="spellStart"/>
      <w:r w:rsidRPr="005D4D4E">
        <w:rPr>
          <w:rFonts w:ascii="TimesLT" w:hAnsi="TimesLT" w:cs="TimesLT"/>
          <w:sz w:val="24"/>
          <w:szCs w:val="24"/>
          <w:lang w:val="en-GB"/>
        </w:rPr>
        <w:t>suplementary</w:t>
      </w:r>
      <w:proofErr w:type="spellEnd"/>
      <w:r w:rsidRPr="005D4D4E">
        <w:rPr>
          <w:rFonts w:ascii="TimesLT" w:hAnsi="TimesLT" w:cs="TimesLT"/>
          <w:sz w:val="24"/>
          <w:szCs w:val="24"/>
          <w:lang w:val="en-GB"/>
        </w:rPr>
        <w:t xml:space="preserve"> studies (requirement – not more than 40 credits). Requirements for Education Studies are also achieved: there are 42 credits of pedagogical studies (requirements specify it must be at least 40 credits), where 22 credits are for theoretical studies and 20 credits are for teaching practice</w:t>
      </w:r>
      <w:r w:rsidRPr="005D4D4E">
        <w:rPr>
          <w:rFonts w:ascii="TimesLT" w:hAnsi="TimesLT" w:cs="TimesLT"/>
          <w:sz w:val="20"/>
          <w:szCs w:val="20"/>
          <w:lang w:val="en-GB"/>
        </w:rPr>
        <w:t>.</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sz w:val="24"/>
          <w:szCs w:val="24"/>
          <w:lang w:val="en-GB"/>
        </w:rPr>
        <w:t xml:space="preserve"> </w:t>
      </w:r>
      <w:r w:rsidRPr="005D4D4E">
        <w:rPr>
          <w:rFonts w:ascii="TimesLT" w:hAnsi="TimesLT" w:cs="TimesLT"/>
          <w:i/>
          <w:iCs/>
          <w:sz w:val="24"/>
          <w:szCs w:val="24"/>
          <w:lang w:val="en-GB"/>
        </w:rPr>
        <w:t>2.2.2. Comprehensiveness and rationality of program content</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experts feel the SA authors eager to root the program into a modern university context and commend the LMTA KF for this vision. The variety of forms and methods of teaching are appropriate and fit to international standards. As already stated above, the commission recommends a reshuffling of the internal balance of the program between in-depth and applied subjects and a broader artistic and pedagogical objective (see recommendation III.3.2).</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b/>
          <w:bCs/>
          <w:i/>
          <w:iCs/>
          <w:sz w:val="24"/>
          <w:szCs w:val="24"/>
          <w:lang w:val="en-GB"/>
        </w:rPr>
        <w:t>3. Staff</w:t>
      </w:r>
      <w:r w:rsidRPr="005D4D4E">
        <w:rPr>
          <w:rFonts w:ascii="TimesLT" w:hAnsi="TimesLT" w:cs="TimesLT"/>
          <w:sz w:val="24"/>
          <w:szCs w:val="24"/>
          <w:lang w:val="en-GB"/>
        </w:rPr>
        <w:t xml:space="preserve"> </w:t>
      </w: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r w:rsidRPr="005D4D4E">
        <w:rPr>
          <w:rFonts w:ascii="TimesLT" w:hAnsi="TimesLT" w:cs="TimesLT"/>
          <w:b/>
          <w:bCs/>
          <w:sz w:val="24"/>
          <w:szCs w:val="24"/>
          <w:lang w:val="en-GB"/>
        </w:rPr>
        <w:t xml:space="preserve">3.1. Staff composition and turnover </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3.1.1. Rationality of the staff composition</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roofErr w:type="spellStart"/>
      <w:r w:rsidRPr="005D4D4E">
        <w:rPr>
          <w:rFonts w:ascii="Times New Roman" w:hAnsi="Times New Roman" w:cs="Times New Roman"/>
          <w:sz w:val="24"/>
          <w:szCs w:val="24"/>
        </w:rPr>
        <w:t>Teachers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qualification</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b/>
          <w:bCs/>
          <w:sz w:val="24"/>
          <w:szCs w:val="24"/>
        </w:rPr>
        <w:t>is</w:t>
      </w:r>
      <w:proofErr w:type="spellEnd"/>
      <w:r w:rsidRPr="005D4D4E">
        <w:rPr>
          <w:rFonts w:ascii="Times New Roman" w:hAnsi="Times New Roman" w:cs="Times New Roman"/>
          <w:b/>
          <w:bCs/>
          <w:sz w:val="24"/>
          <w:szCs w:val="24"/>
        </w:rPr>
        <w:t xml:space="preserve"> </w:t>
      </w:r>
      <w:proofErr w:type="spellStart"/>
      <w:r w:rsidRPr="005D4D4E">
        <w:rPr>
          <w:rFonts w:ascii="Times New Roman" w:hAnsi="Times New Roman" w:cs="Times New Roman"/>
          <w:b/>
          <w:bCs/>
          <w:sz w:val="24"/>
          <w:szCs w:val="24"/>
        </w:rPr>
        <w:t>not</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fully</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sufficient</w:t>
      </w:r>
      <w:proofErr w:type="spellEnd"/>
      <w:r w:rsidRPr="005D4D4E">
        <w:rPr>
          <w:rFonts w:ascii="Times New Roman" w:hAnsi="Times New Roman" w:cs="Times New Roman"/>
          <w:sz w:val="24"/>
          <w:szCs w:val="24"/>
        </w:rPr>
        <w:t xml:space="preserve"> to </w:t>
      </w:r>
      <w:proofErr w:type="spellStart"/>
      <w:r w:rsidRPr="005D4D4E">
        <w:rPr>
          <w:rFonts w:ascii="Times New Roman" w:hAnsi="Times New Roman" w:cs="Times New Roman"/>
          <w:sz w:val="24"/>
          <w:szCs w:val="24"/>
        </w:rPr>
        <w:t>satisfy</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the</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legal</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requirements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for</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Education</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Pedagogy</w:t>
      </w:r>
      <w:proofErr w:type="spellEnd"/>
      <w:r w:rsidRPr="005D4D4E">
        <w:rPr>
          <w:rFonts w:ascii="Times New Roman" w:hAnsi="Times New Roman" w:cs="Times New Roman"/>
          <w:sz w:val="24"/>
          <w:szCs w:val="24"/>
        </w:rPr>
        <w:t xml:space="preserve">): 30 </w:t>
      </w:r>
      <w:proofErr w:type="spellStart"/>
      <w:r w:rsidRPr="005D4D4E">
        <w:rPr>
          <w:rFonts w:ascii="Times New Roman" w:hAnsi="Times New Roman" w:cs="Times New Roman"/>
          <w:sz w:val="24"/>
          <w:szCs w:val="24"/>
        </w:rPr>
        <w:t>credits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less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than</w:t>
      </w:r>
      <w:proofErr w:type="spellEnd"/>
      <w:r w:rsidRPr="005D4D4E">
        <w:rPr>
          <w:rFonts w:ascii="Times New Roman" w:hAnsi="Times New Roman" w:cs="Times New Roman"/>
          <w:sz w:val="24"/>
          <w:szCs w:val="24"/>
        </w:rPr>
        <w:t xml:space="preserve"> 50%) </w:t>
      </w:r>
      <w:proofErr w:type="spellStart"/>
      <w:r w:rsidRPr="005D4D4E">
        <w:rPr>
          <w:rFonts w:ascii="Times New Roman" w:hAnsi="Times New Roman" w:cs="Times New Roman"/>
          <w:sz w:val="24"/>
          <w:szCs w:val="24"/>
        </w:rPr>
        <w:t>of</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subjects</w:t>
      </w:r>
      <w:proofErr w:type="spellEnd"/>
      <w:r w:rsidRPr="005D4D4E">
        <w:rPr>
          <w:rFonts w:ascii="Times New Roman" w:hAnsi="Times New Roman" w:cs="Times New Roman"/>
          <w:sz w:val="24"/>
          <w:szCs w:val="24"/>
        </w:rPr>
        <w:t xml:space="preserve"> are </w:t>
      </w:r>
      <w:proofErr w:type="spellStart"/>
      <w:r w:rsidRPr="005D4D4E">
        <w:rPr>
          <w:rFonts w:ascii="Times New Roman" w:hAnsi="Times New Roman" w:cs="Times New Roman"/>
          <w:sz w:val="24"/>
          <w:szCs w:val="24"/>
        </w:rPr>
        <w:t>taught</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by</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teachers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having</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scientific</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degree</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although</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their</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research</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field</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corresponds</w:t>
      </w:r>
      <w:proofErr w:type="spellEnd"/>
      <w:r w:rsidRPr="005D4D4E">
        <w:rPr>
          <w:rFonts w:ascii="Times New Roman" w:hAnsi="Times New Roman" w:cs="Times New Roman"/>
          <w:sz w:val="24"/>
          <w:szCs w:val="24"/>
        </w:rPr>
        <w:t xml:space="preserve"> to </w:t>
      </w:r>
      <w:proofErr w:type="spellStart"/>
      <w:r w:rsidRPr="005D4D4E">
        <w:rPr>
          <w:rFonts w:ascii="Times New Roman" w:hAnsi="Times New Roman" w:cs="Times New Roman"/>
          <w:sz w:val="24"/>
          <w:szCs w:val="24"/>
        </w:rPr>
        <w:t>subject’s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field</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they</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teach</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As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far</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as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general</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requirements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for</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study</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program</w:t>
      </w:r>
      <w:proofErr w:type="spellEnd"/>
      <w:r w:rsidRPr="005D4D4E">
        <w:rPr>
          <w:rFonts w:ascii="Times New Roman" w:hAnsi="Times New Roman" w:cs="Times New Roman"/>
          <w:sz w:val="24"/>
          <w:szCs w:val="24"/>
        </w:rPr>
        <w:t xml:space="preserve"> are </w:t>
      </w:r>
      <w:proofErr w:type="spellStart"/>
      <w:r w:rsidRPr="005D4D4E">
        <w:rPr>
          <w:rFonts w:ascii="Times New Roman" w:hAnsi="Times New Roman" w:cs="Times New Roman"/>
          <w:sz w:val="24"/>
          <w:szCs w:val="24"/>
        </w:rPr>
        <w:t>concerned</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the</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staff</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b/>
          <w:bCs/>
          <w:sz w:val="24"/>
          <w:szCs w:val="24"/>
        </w:rPr>
        <w:t>does</w:t>
      </w:r>
      <w:proofErr w:type="spellEnd"/>
      <w:r w:rsidRPr="005D4D4E">
        <w:rPr>
          <w:rFonts w:ascii="Times New Roman" w:hAnsi="Times New Roman" w:cs="Times New Roman"/>
          <w:b/>
          <w:bCs/>
          <w:sz w:val="24"/>
          <w:szCs w:val="24"/>
        </w:rPr>
        <w:t xml:space="preserve"> </w:t>
      </w:r>
      <w:proofErr w:type="spellStart"/>
      <w:r w:rsidRPr="005D4D4E">
        <w:rPr>
          <w:rFonts w:ascii="Times New Roman" w:hAnsi="Times New Roman" w:cs="Times New Roman"/>
          <w:b/>
          <w:bCs/>
          <w:sz w:val="24"/>
          <w:szCs w:val="24"/>
        </w:rPr>
        <w:t>not</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correspond</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the</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requirement</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that</w:t>
      </w:r>
      <w:proofErr w:type="spellEnd"/>
      <w:r w:rsidRPr="005D4D4E">
        <w:rPr>
          <w:rFonts w:ascii="Times New Roman" w:hAnsi="Times New Roman" w:cs="Times New Roman"/>
          <w:sz w:val="24"/>
          <w:szCs w:val="24"/>
        </w:rPr>
        <w:t xml:space="preserve"> 20% </w:t>
      </w:r>
      <w:proofErr w:type="spellStart"/>
      <w:r w:rsidRPr="005D4D4E">
        <w:rPr>
          <w:rFonts w:ascii="Times New Roman" w:hAnsi="Times New Roman" w:cs="Times New Roman"/>
          <w:sz w:val="24"/>
          <w:szCs w:val="24"/>
        </w:rPr>
        <w:t>of</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major</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study</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field</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subjects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volume</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is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taught</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by</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teachers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holding</w:t>
      </w:r>
      <w:proofErr w:type="spellEnd"/>
      <w:r w:rsidRPr="005D4D4E">
        <w:rPr>
          <w:rFonts w:ascii="Times New Roman" w:hAnsi="Times New Roman" w:cs="Times New Roman"/>
          <w:sz w:val="24"/>
          <w:szCs w:val="24"/>
        </w:rPr>
        <w:t xml:space="preserve"> a </w:t>
      </w:r>
      <w:proofErr w:type="spellStart"/>
      <w:r w:rsidRPr="005D4D4E">
        <w:rPr>
          <w:rFonts w:ascii="Times New Roman" w:hAnsi="Times New Roman" w:cs="Times New Roman"/>
          <w:sz w:val="24"/>
          <w:szCs w:val="24"/>
        </w:rPr>
        <w:t>Professors</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academic</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sz w:val="24"/>
          <w:szCs w:val="24"/>
        </w:rPr>
        <w:t>degree</w:t>
      </w:r>
      <w:proofErr w:type="spellEnd"/>
      <w:r w:rsidRPr="005D4D4E">
        <w:rPr>
          <w:rFonts w:ascii="Times New Roman" w:hAnsi="Times New Roman" w:cs="Times New Roman"/>
          <w:sz w:val="24"/>
          <w:szCs w:val="24"/>
        </w:rPr>
        <w:t xml:space="preserve"> at </w:t>
      </w:r>
      <w:proofErr w:type="spellStart"/>
      <w:r w:rsidRPr="005D4D4E">
        <w:rPr>
          <w:rFonts w:ascii="Times New Roman" w:hAnsi="Times New Roman" w:cs="Times New Roman"/>
          <w:sz w:val="24"/>
          <w:szCs w:val="24"/>
        </w:rPr>
        <w:t>all</w:t>
      </w:r>
      <w:proofErr w:type="spellEnd"/>
      <w:r w:rsidRPr="005D4D4E">
        <w:rPr>
          <w:rFonts w:ascii="Times New Roman" w:hAnsi="Times New Roman" w:cs="Times New Roman"/>
          <w:sz w:val="24"/>
          <w:szCs w:val="24"/>
        </w:rPr>
        <w:t xml:space="preserve">. </w:t>
      </w:r>
      <w:proofErr w:type="spellStart"/>
      <w:r w:rsidRPr="005D4D4E">
        <w:rPr>
          <w:rFonts w:ascii="Times New Roman" w:hAnsi="Times New Roman" w:cs="Times New Roman"/>
          <w:b/>
          <w:bCs/>
          <w:color w:val="000000"/>
          <w:sz w:val="24"/>
          <w:szCs w:val="24"/>
        </w:rPr>
        <w:t>The</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commission</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strongly</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recommends</w:t>
      </w:r>
      <w:proofErr w:type="spellEnd"/>
      <w:r w:rsidRPr="005D4D4E">
        <w:rPr>
          <w:rFonts w:ascii="Times New Roman" w:hAnsi="Times New Roman" w:cs="Times New Roman"/>
          <w:b/>
          <w:bCs/>
          <w:color w:val="000000"/>
          <w:sz w:val="24"/>
          <w:szCs w:val="24"/>
        </w:rPr>
        <w:t xml:space="preserve"> to </w:t>
      </w:r>
      <w:proofErr w:type="spellStart"/>
      <w:r w:rsidRPr="005D4D4E">
        <w:rPr>
          <w:rFonts w:ascii="Times New Roman" w:hAnsi="Times New Roman" w:cs="Times New Roman"/>
          <w:b/>
          <w:bCs/>
          <w:color w:val="000000"/>
          <w:sz w:val="24"/>
          <w:szCs w:val="24"/>
        </w:rPr>
        <w:t>address</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this</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issue</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and</w:t>
      </w:r>
      <w:proofErr w:type="spellEnd"/>
      <w:r w:rsidRPr="005D4D4E">
        <w:rPr>
          <w:rFonts w:ascii="Times New Roman" w:hAnsi="Times New Roman" w:cs="Times New Roman"/>
          <w:b/>
          <w:bCs/>
          <w:color w:val="000000"/>
          <w:sz w:val="24"/>
          <w:szCs w:val="24"/>
        </w:rPr>
        <w:t xml:space="preserve"> to </w:t>
      </w:r>
      <w:proofErr w:type="spellStart"/>
      <w:r w:rsidRPr="005D4D4E">
        <w:rPr>
          <w:rFonts w:ascii="Times New Roman" w:hAnsi="Times New Roman" w:cs="Times New Roman"/>
          <w:b/>
          <w:bCs/>
          <w:color w:val="000000"/>
          <w:sz w:val="24"/>
          <w:szCs w:val="24"/>
        </w:rPr>
        <w:t>reduce</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this</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deficit</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in</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the</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next</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years</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by</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appointing</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new</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qualified</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teachers</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and</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helping</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already</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appointed</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teachers</w:t>
      </w:r>
      <w:proofErr w:type="spellEnd"/>
      <w:r w:rsidRPr="005D4D4E">
        <w:rPr>
          <w:rFonts w:ascii="Times New Roman" w:hAnsi="Times New Roman" w:cs="Times New Roman"/>
          <w:b/>
          <w:bCs/>
          <w:color w:val="000000"/>
          <w:sz w:val="24"/>
          <w:szCs w:val="24"/>
        </w:rPr>
        <w:t xml:space="preserve"> to </w:t>
      </w:r>
      <w:proofErr w:type="spellStart"/>
      <w:r w:rsidRPr="005D4D4E">
        <w:rPr>
          <w:rFonts w:ascii="Times New Roman" w:hAnsi="Times New Roman" w:cs="Times New Roman"/>
          <w:b/>
          <w:bCs/>
          <w:color w:val="000000"/>
          <w:sz w:val="24"/>
          <w:szCs w:val="24"/>
        </w:rPr>
        <w:t>fit</w:t>
      </w:r>
      <w:proofErr w:type="spellEnd"/>
      <w:r w:rsidRPr="005D4D4E">
        <w:rPr>
          <w:rFonts w:ascii="Times New Roman" w:hAnsi="Times New Roman" w:cs="Times New Roman"/>
          <w:b/>
          <w:bCs/>
          <w:color w:val="000000"/>
          <w:sz w:val="24"/>
          <w:szCs w:val="24"/>
        </w:rPr>
        <w:t xml:space="preserve"> to </w:t>
      </w:r>
      <w:proofErr w:type="spellStart"/>
      <w:r w:rsidRPr="005D4D4E">
        <w:rPr>
          <w:rFonts w:ascii="Times New Roman" w:hAnsi="Times New Roman" w:cs="Times New Roman"/>
          <w:b/>
          <w:bCs/>
          <w:color w:val="000000"/>
          <w:sz w:val="24"/>
          <w:szCs w:val="24"/>
        </w:rPr>
        <w:t>the</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legal</w:t>
      </w:r>
      <w:proofErr w:type="spellEnd"/>
      <w:r w:rsidRPr="005D4D4E">
        <w:rPr>
          <w:rFonts w:ascii="Times New Roman" w:hAnsi="Times New Roman" w:cs="Times New Roman"/>
          <w:b/>
          <w:bCs/>
          <w:color w:val="000000"/>
          <w:sz w:val="24"/>
          <w:szCs w:val="24"/>
        </w:rPr>
        <w:t xml:space="preserve"> </w:t>
      </w:r>
      <w:proofErr w:type="spellStart"/>
      <w:r w:rsidRPr="005D4D4E">
        <w:rPr>
          <w:rFonts w:ascii="Times New Roman" w:hAnsi="Times New Roman" w:cs="Times New Roman"/>
          <w:b/>
          <w:bCs/>
          <w:color w:val="000000"/>
          <w:sz w:val="24"/>
          <w:szCs w:val="24"/>
        </w:rPr>
        <w:t>requirements</w:t>
      </w:r>
      <w:proofErr w:type="spellEnd"/>
      <w:r w:rsidRPr="005D4D4E">
        <w:rPr>
          <w:rFonts w:ascii="Times New Roman" w:hAnsi="Times New Roman" w:cs="Times New Roman"/>
          <w:b/>
          <w:bCs/>
          <w:color w:val="000000"/>
          <w:sz w:val="24"/>
          <w:szCs w:val="24"/>
        </w:rPr>
        <w:t>.</w:t>
      </w:r>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The</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commission</w:t>
      </w:r>
      <w:proofErr w:type="spellEnd"/>
      <w:r w:rsidRPr="005D4D4E">
        <w:rPr>
          <w:rFonts w:ascii="Times New Roman" w:hAnsi="Times New Roman" w:cs="Times New Roman"/>
          <w:color w:val="000000"/>
          <w:sz w:val="24"/>
          <w:szCs w:val="24"/>
        </w:rPr>
        <w:t xml:space="preserve"> also </w:t>
      </w:r>
      <w:proofErr w:type="spellStart"/>
      <w:r w:rsidRPr="005D4D4E">
        <w:rPr>
          <w:rFonts w:ascii="Times New Roman" w:hAnsi="Times New Roman" w:cs="Times New Roman"/>
          <w:color w:val="000000"/>
          <w:sz w:val="24"/>
          <w:szCs w:val="24"/>
        </w:rPr>
        <w:t>thinks</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that</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the</w:t>
      </w:r>
      <w:proofErr w:type="spellEnd"/>
      <w:r w:rsidRPr="005D4D4E">
        <w:rPr>
          <w:rFonts w:ascii="Times New Roman" w:hAnsi="Times New Roman" w:cs="Times New Roman"/>
          <w:color w:val="000000"/>
          <w:sz w:val="24"/>
          <w:szCs w:val="24"/>
        </w:rPr>
        <w:t xml:space="preserve"> GMD </w:t>
      </w:r>
      <w:proofErr w:type="spellStart"/>
      <w:r w:rsidRPr="005D4D4E">
        <w:rPr>
          <w:rFonts w:ascii="Times New Roman" w:hAnsi="Times New Roman" w:cs="Times New Roman"/>
          <w:color w:val="000000"/>
          <w:sz w:val="24"/>
          <w:szCs w:val="24"/>
        </w:rPr>
        <w:t>program</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would</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greatly</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benefit</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from</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invited</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teachers</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giving</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new</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ideas</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and</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impetus</w:t>
      </w:r>
      <w:proofErr w:type="spellEnd"/>
      <w:r w:rsidRPr="005D4D4E">
        <w:rPr>
          <w:rFonts w:ascii="TimesLT" w:hAnsi="TimesLT" w:cs="TimesLT"/>
          <w:color w:val="000000"/>
          <w:sz w:val="20"/>
          <w:szCs w:val="20"/>
          <w:lang w:val="en-GB"/>
        </w:rPr>
        <w:t xml:space="preserve">. </w:t>
      </w:r>
      <w:r w:rsidRPr="005D4D4E">
        <w:rPr>
          <w:rFonts w:ascii="Times New Roman" w:hAnsi="Times New Roman" w:cs="Times New Roman"/>
          <w:color w:val="000000"/>
          <w:sz w:val="24"/>
          <w:szCs w:val="24"/>
        </w:rPr>
        <w:t>(</w:t>
      </w:r>
      <w:proofErr w:type="spellStart"/>
      <w:r w:rsidRPr="005D4D4E">
        <w:rPr>
          <w:rFonts w:ascii="Times New Roman" w:hAnsi="Times New Roman" w:cs="Times New Roman"/>
          <w:color w:val="000000"/>
          <w:sz w:val="24"/>
          <w:szCs w:val="24"/>
        </w:rPr>
        <w:t>see</w:t>
      </w:r>
      <w:proofErr w:type="spellEnd"/>
      <w:r w:rsidRPr="005D4D4E">
        <w:rPr>
          <w:rFonts w:ascii="Times New Roman" w:hAnsi="Times New Roman" w:cs="Times New Roman"/>
          <w:color w:val="000000"/>
          <w:sz w:val="24"/>
          <w:szCs w:val="24"/>
        </w:rPr>
        <w:t xml:space="preserve"> </w:t>
      </w:r>
      <w:proofErr w:type="spellStart"/>
      <w:r w:rsidRPr="005D4D4E">
        <w:rPr>
          <w:rFonts w:ascii="Times New Roman" w:hAnsi="Times New Roman" w:cs="Times New Roman"/>
          <w:color w:val="000000"/>
          <w:sz w:val="24"/>
          <w:szCs w:val="24"/>
        </w:rPr>
        <w:t>recommendation</w:t>
      </w:r>
      <w:proofErr w:type="spellEnd"/>
      <w:r w:rsidRPr="005D4D4E">
        <w:rPr>
          <w:rFonts w:ascii="Times New Roman" w:hAnsi="Times New Roman" w:cs="Times New Roman"/>
          <w:color w:val="000000"/>
          <w:sz w:val="24"/>
          <w:szCs w:val="24"/>
        </w:rPr>
        <w:t xml:space="preserve"> III.3)</w:t>
      </w:r>
    </w:p>
    <w:p w:rsidR="005D4D4E" w:rsidRPr="005D4D4E" w:rsidRDefault="005D4D4E" w:rsidP="005D4D4E">
      <w:pPr>
        <w:tabs>
          <w:tab w:val="left" w:pos="360"/>
        </w:tabs>
        <w:autoSpaceDE w:val="0"/>
        <w:autoSpaceDN w:val="0"/>
        <w:adjustRightInd w:val="0"/>
        <w:spacing w:after="0" w:line="240" w:lineRule="auto"/>
        <w:ind w:firstLine="360"/>
        <w:jc w:val="both"/>
        <w:rPr>
          <w:rFonts w:ascii="TimesLT" w:hAnsi="TimesLT" w:cs="TimesLT"/>
          <w:color w:val="000000"/>
          <w:sz w:val="24"/>
          <w:szCs w:val="24"/>
          <w:lang w:val="en-GB"/>
        </w:rPr>
      </w:pPr>
      <w:r w:rsidRPr="005D4D4E">
        <w:rPr>
          <w:rFonts w:ascii="TimesLT" w:hAnsi="TimesLT" w:cs="TimesLT"/>
          <w:color w:val="000000"/>
          <w:sz w:val="24"/>
          <w:szCs w:val="24"/>
          <w:lang w:val="en-GB"/>
        </w:rPr>
        <w:tab/>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color w:val="000000"/>
          <w:sz w:val="24"/>
          <w:szCs w:val="24"/>
          <w:lang w:val="en-GB"/>
        </w:rPr>
        <w:t>3.1.2. Turnover of teachers</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color w:val="000000"/>
          <w:sz w:val="24"/>
          <w:szCs w:val="24"/>
          <w:lang w:val="en-GB"/>
        </w:rPr>
        <w:t xml:space="preserve">The overall stability of the teaching staff suggests a </w:t>
      </w:r>
      <w:proofErr w:type="gramStart"/>
      <w:r w:rsidRPr="005D4D4E">
        <w:rPr>
          <w:rFonts w:ascii="TimesLT" w:hAnsi="TimesLT" w:cs="TimesLT"/>
          <w:color w:val="000000"/>
          <w:sz w:val="24"/>
          <w:szCs w:val="24"/>
          <w:lang w:val="en-GB"/>
        </w:rPr>
        <w:t>teachers</w:t>
      </w:r>
      <w:proofErr w:type="gramEnd"/>
      <w:r w:rsidRPr="005D4D4E">
        <w:rPr>
          <w:rFonts w:ascii="TimesLT" w:hAnsi="TimesLT" w:cs="TimesLT"/>
          <w:color w:val="000000"/>
          <w:sz w:val="24"/>
          <w:szCs w:val="24"/>
          <w:lang w:val="en-GB"/>
        </w:rPr>
        <w:t xml:space="preserve"> team being able to deal with the institutional historical identity. Nevertheless and as stated above, the strengthening of the academic qualifications and the development of a guest teachers policy should be a priority in order to be in phase with the legal requirements and programs in a rapidly changing environment.</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b/>
          <w:bCs/>
          <w:sz w:val="24"/>
          <w:szCs w:val="24"/>
          <w:lang w:val="en-GB"/>
        </w:rPr>
      </w:pPr>
      <w:r w:rsidRPr="005D4D4E">
        <w:rPr>
          <w:rFonts w:ascii="TimesLT" w:hAnsi="TimesLT" w:cs="TimesLT"/>
          <w:b/>
          <w:bCs/>
          <w:sz w:val="24"/>
          <w:szCs w:val="24"/>
          <w:lang w:val="en-GB"/>
        </w:rPr>
        <w:t xml:space="preserve">3.2. Staff competence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color w:val="000000"/>
          <w:sz w:val="24"/>
          <w:szCs w:val="24"/>
          <w:lang w:val="en-GB"/>
        </w:rPr>
      </w:pPr>
      <w:r w:rsidRPr="005D4D4E">
        <w:rPr>
          <w:rFonts w:ascii="TimesLT" w:hAnsi="TimesLT" w:cs="TimesLT"/>
          <w:color w:val="000000"/>
          <w:sz w:val="24"/>
          <w:szCs w:val="24"/>
          <w:lang w:val="en-GB"/>
        </w:rPr>
        <w:t xml:space="preserve"> 3.2.1.</w:t>
      </w:r>
      <w:r w:rsidRPr="005D4D4E">
        <w:rPr>
          <w:rFonts w:ascii="TimesLT" w:hAnsi="TimesLT" w:cs="TimesLT"/>
          <w:i/>
          <w:iCs/>
          <w:color w:val="000000"/>
          <w:sz w:val="24"/>
          <w:szCs w:val="24"/>
          <w:lang w:val="en-GB"/>
        </w:rPr>
        <w:t xml:space="preserve"> Compliance of staff experience with the study program</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detailed description of staff’s activities in SA and in Annex 3.3 offers evidence of activity not only in pedagogy, but also in various other fields of musical experience (concerts, research, organisation, expertise etc.), well in phase with the study program.</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3.2.2. </w:t>
      </w:r>
      <w:r w:rsidRPr="005D4D4E">
        <w:rPr>
          <w:rFonts w:ascii="TimesLT" w:hAnsi="TimesLT" w:cs="TimesLT"/>
          <w:i/>
          <w:iCs/>
          <w:sz w:val="24"/>
          <w:szCs w:val="24"/>
          <w:lang w:val="en-GB"/>
        </w:rPr>
        <w:t>Consistency of teachers’ professional development</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According to the legal requirements, the teachers are certified for a limited time period and must give evidence of continuing professional development. Although Annex 3.3 already offers numerous examples of such action, the Commission suggests using the tool of periodic certification for improving the teacher’s qualification in a more focused way (see recommendation III.3.3).</w:t>
      </w:r>
    </w:p>
    <w:p w:rsidR="005D4D4E" w:rsidRPr="005D4D4E" w:rsidRDefault="005D4D4E" w:rsidP="005D4D4E">
      <w:pPr>
        <w:keepNext/>
        <w:autoSpaceDE w:val="0"/>
        <w:autoSpaceDN w:val="0"/>
        <w:adjustRightInd w:val="0"/>
        <w:spacing w:before="240" w:after="60" w:line="240" w:lineRule="auto"/>
        <w:jc w:val="both"/>
        <w:outlineLvl w:val="2"/>
        <w:rPr>
          <w:rFonts w:ascii="TimesLT" w:hAnsi="TimesLT" w:cs="TimesLT"/>
          <w:b/>
          <w:bCs/>
          <w:sz w:val="24"/>
          <w:szCs w:val="24"/>
          <w:lang w:val="en-GB"/>
        </w:rPr>
      </w:pPr>
      <w:r w:rsidRPr="005D4D4E">
        <w:rPr>
          <w:rFonts w:ascii="TimesLT" w:hAnsi="TimesLT" w:cs="TimesLT"/>
          <w:b/>
          <w:bCs/>
          <w:sz w:val="24"/>
          <w:szCs w:val="24"/>
          <w:lang w:val="en-GB"/>
        </w:rPr>
        <w:t>4.1. Facilities</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sz w:val="24"/>
          <w:szCs w:val="24"/>
          <w:lang w:val="en-GB"/>
        </w:rPr>
        <w:t>4.1.1. Sufficiency and suitability of premises for studies</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building of the Kaunas Faculty of LMTA has an attractive exterior surrounded by a park-like campus which is characteristic of the area.  According to the SA, the number of classrooms and auditoria is sufficient for the current student population which has the opportunity to study from early morning (6 AM) till evening (10 PM), and 8 AM – 6 PM during holidays. Although there are plans to extend the number of workplaces for group classes, the students confirmed during the experts’ visit that there is sufficient study space for them.  However, it is the visiting experts’ impression that the interior of the building needs significant renovation.  According to the SA, 10% of the Faculty will be renovated in 2011 (see recommendation III.3.4.1).</w:t>
      </w:r>
    </w:p>
    <w:p w:rsidR="005D4D4E" w:rsidRPr="005D4D4E" w:rsidRDefault="005D4D4E" w:rsidP="005D4D4E">
      <w:pPr>
        <w:autoSpaceDE w:val="0"/>
        <w:autoSpaceDN w:val="0"/>
        <w:adjustRightInd w:val="0"/>
        <w:spacing w:after="0" w:line="240" w:lineRule="auto"/>
        <w:rPr>
          <w:rFonts w:ascii="TimesLT" w:hAnsi="TimesLT" w:cs="TimesLT"/>
          <w:color w:val="0000FF"/>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Library work area and reading room provide sufficient space for the current student body. Plans to expand the number of workstations with audio and computer equipment have been suspended because of a shortage of funds. Since LMTA KF Library is a subunit of LMTA Library in Vilnius, materials that are not available in the LMTA KF stock can be ordered at the LMTA Library, arriving within one or two days. Students can also make use of public libraries in Kaunas (see recommendation III.3.4.2).</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sz w:val="24"/>
          <w:szCs w:val="24"/>
          <w:lang w:val="en-GB"/>
        </w:rPr>
        <w:t>4.</w:t>
      </w:r>
      <w:r w:rsidRPr="005D4D4E">
        <w:rPr>
          <w:rFonts w:ascii="TimesLT" w:hAnsi="TimesLT" w:cs="TimesLT"/>
          <w:i/>
          <w:iCs/>
          <w:color w:val="000000"/>
          <w:sz w:val="24"/>
          <w:szCs w:val="24"/>
          <w:lang w:val="en-GB"/>
        </w:rPr>
        <w:t>1.2.</w:t>
      </w:r>
      <w:r w:rsidRPr="005D4D4E">
        <w:rPr>
          <w:rFonts w:ascii="TimesLT" w:hAnsi="TimesLT" w:cs="TimesLT"/>
          <w:i/>
          <w:iCs/>
          <w:sz w:val="24"/>
          <w:szCs w:val="24"/>
          <w:lang w:val="en-GB"/>
        </w:rPr>
        <w:t xml:space="preserve"> Suitability and sufficiency of equipment for studies</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color w:val="000000"/>
          <w:sz w:val="24"/>
          <w:szCs w:val="24"/>
          <w:lang w:val="en-GB"/>
        </w:rPr>
        <w:t xml:space="preserve">The SA indicates a catalogue of available equipment for student use including instruments, concert attire, and printed performance materials (scores and parts). </w:t>
      </w:r>
      <w:r w:rsidRPr="005D4D4E">
        <w:rPr>
          <w:rFonts w:ascii="TimesLT" w:hAnsi="TimesLT" w:cs="TimesLT"/>
          <w:sz w:val="24"/>
          <w:szCs w:val="24"/>
          <w:lang w:val="en-GB"/>
        </w:rPr>
        <w:t>The quantity of instruments currently in Kaunas is sufficient according to the SA; nevertheless, plans include acquisition of 4 new grand pianos’ in the next 5 years. The SA also states that audio and video equipment, and computer hardware and software are available for student use but need to be improved and increased. The visiting experts note that the faculty is aware of the need to improve and expand the materials and equipment and that budgetary support and fundraising for this is an issue because the LMTA KF finances are totally dependent on LMTA Vilnius (see recommendation III.3.4.2).</w:t>
      </w:r>
    </w:p>
    <w:p w:rsidR="005D4D4E" w:rsidRPr="005D4D4E" w:rsidRDefault="005D4D4E" w:rsidP="005D4D4E">
      <w:pPr>
        <w:tabs>
          <w:tab w:val="left" w:pos="360"/>
        </w:tabs>
        <w:autoSpaceDE w:val="0"/>
        <w:autoSpaceDN w:val="0"/>
        <w:adjustRightInd w:val="0"/>
        <w:spacing w:after="0" w:line="240" w:lineRule="auto"/>
        <w:ind w:left="720" w:hanging="360"/>
        <w:jc w:val="both"/>
        <w:rPr>
          <w:rFonts w:ascii="TimesLT" w:hAnsi="TimesLT" w:cs="TimesLT"/>
          <w:color w:val="000000"/>
          <w:sz w:val="24"/>
          <w:szCs w:val="24"/>
          <w:lang w:val="en-GB"/>
        </w:rPr>
      </w:pPr>
      <w:r w:rsidRPr="005D4D4E">
        <w:rPr>
          <w:rFonts w:ascii="TimesLT" w:hAnsi="TimesLT" w:cs="TimesLT"/>
          <w:sz w:val="24"/>
          <w:szCs w:val="24"/>
          <w:lang w:val="en-GB"/>
        </w:rPr>
        <w:tab/>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sz w:val="24"/>
          <w:szCs w:val="24"/>
          <w:lang w:val="en-GB"/>
        </w:rPr>
        <w:t>4.</w:t>
      </w:r>
      <w:r w:rsidRPr="005D4D4E">
        <w:rPr>
          <w:rFonts w:ascii="TimesLT" w:hAnsi="TimesLT" w:cs="TimesLT"/>
          <w:i/>
          <w:iCs/>
          <w:color w:val="000000"/>
          <w:sz w:val="24"/>
          <w:szCs w:val="24"/>
          <w:lang w:val="en-GB"/>
        </w:rPr>
        <w:t>1.3</w:t>
      </w:r>
      <w:r w:rsidRPr="005D4D4E">
        <w:rPr>
          <w:rFonts w:ascii="TimesLT" w:hAnsi="TimesLT" w:cs="TimesLT"/>
          <w:color w:val="000000"/>
          <w:sz w:val="24"/>
          <w:szCs w:val="24"/>
          <w:lang w:val="en-GB"/>
        </w:rPr>
        <w:t>.</w:t>
      </w:r>
      <w:r w:rsidRPr="005D4D4E">
        <w:rPr>
          <w:rFonts w:ascii="TimesLT" w:hAnsi="TimesLT" w:cs="TimesLT"/>
          <w:i/>
          <w:iCs/>
          <w:sz w:val="24"/>
          <w:szCs w:val="24"/>
          <w:lang w:val="en-GB"/>
        </w:rPr>
        <w:t xml:space="preserve"> Suitability and accessibility of the resources for practical training</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color w:val="000000"/>
          <w:sz w:val="24"/>
          <w:szCs w:val="24"/>
          <w:lang w:val="en-GB"/>
        </w:rPr>
        <w:t xml:space="preserve">The experts agree that accessibility and suitability of resources for practical training appear adequate as stated in the SA. Internal performance spaces and external halls are available for student performance projects </w:t>
      </w:r>
      <w:r w:rsidRPr="005D4D4E">
        <w:rPr>
          <w:rFonts w:ascii="TimesLT" w:hAnsi="TimesLT" w:cs="TimesLT"/>
          <w:sz w:val="24"/>
          <w:szCs w:val="24"/>
          <w:lang w:val="en-GB"/>
        </w:rPr>
        <w:t xml:space="preserve">realized in Kaunas under co-operation agreements with LMTA Vilnius and local organizations. Students of the LMTA KF find their practical training in music education in various music schools and cultural institutions in Kaunas and the surrounding area.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The experts agree that the ratio of suitable practice spaces is generally adequate for current needs and that the LMTA KF has managed the selection and accommodation of locations for practical tasks in an effective way.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color w:val="000000"/>
          <w:sz w:val="24"/>
          <w:szCs w:val="24"/>
          <w:lang w:val="en-GB"/>
        </w:rPr>
      </w:pPr>
      <w:r w:rsidRPr="005D4D4E">
        <w:rPr>
          <w:rFonts w:ascii="TimesLT" w:hAnsi="TimesLT" w:cs="TimesLT"/>
          <w:b/>
          <w:bCs/>
          <w:sz w:val="24"/>
          <w:szCs w:val="24"/>
          <w:lang w:val="en-GB"/>
        </w:rPr>
        <w:t>4.2. Learning resources</w:t>
      </w:r>
    </w:p>
    <w:p w:rsidR="005D4D4E" w:rsidRPr="005D4D4E" w:rsidRDefault="005D4D4E" w:rsidP="005D4D4E">
      <w:pPr>
        <w:autoSpaceDE w:val="0"/>
        <w:autoSpaceDN w:val="0"/>
        <w:adjustRightInd w:val="0"/>
        <w:spacing w:after="0" w:line="240" w:lineRule="auto"/>
        <w:jc w:val="both"/>
        <w:rPr>
          <w:rFonts w:ascii="TimesLT" w:hAnsi="TimesLT" w:cs="TimesLT"/>
          <w:i/>
          <w:iCs/>
          <w:color w:val="000000"/>
          <w:sz w:val="24"/>
          <w:szCs w:val="24"/>
          <w:lang w:val="en-GB"/>
        </w:rPr>
      </w:pPr>
      <w:r w:rsidRPr="005D4D4E">
        <w:rPr>
          <w:rFonts w:ascii="TimesLT" w:hAnsi="TimesLT" w:cs="TimesLT"/>
          <w:i/>
          <w:iCs/>
          <w:color w:val="000000"/>
          <w:sz w:val="24"/>
          <w:szCs w:val="24"/>
          <w:lang w:val="en-GB"/>
        </w:rPr>
        <w:t>4.2.1. Suitability and accessibility of books, textbooks and periodical publications</w:t>
      </w:r>
    </w:p>
    <w:p w:rsidR="005D4D4E" w:rsidRPr="005D4D4E" w:rsidRDefault="005D4D4E" w:rsidP="005D4D4E">
      <w:pPr>
        <w:autoSpaceDE w:val="0"/>
        <w:autoSpaceDN w:val="0"/>
        <w:adjustRightInd w:val="0"/>
        <w:spacing w:after="0" w:line="240" w:lineRule="auto"/>
        <w:jc w:val="both"/>
        <w:rPr>
          <w:rFonts w:ascii="TimesLT" w:hAnsi="TimesLT" w:cs="TimesLT"/>
          <w:b/>
          <w:bCs/>
          <w:color w:val="000000"/>
          <w:sz w:val="24"/>
          <w:szCs w:val="24"/>
          <w:lang w:val="en-GB"/>
        </w:rPr>
      </w:pPr>
      <w:r w:rsidRPr="005D4D4E">
        <w:rPr>
          <w:rFonts w:ascii="TimesLT" w:hAnsi="TimesLT" w:cs="TimesLT"/>
          <w:color w:val="000000"/>
          <w:sz w:val="24"/>
          <w:szCs w:val="24"/>
          <w:lang w:val="en-GB"/>
        </w:rPr>
        <w:t>Although suitability and accessibility of books, textbooks and periodicals appear adequate for the program, there are several issues which the SA brings to light.  The availability of contemporary and early music performance material (scores and parts) appears to be a weakness of the LMTA Library system (see recommendation III.3.4.3).</w:t>
      </w:r>
    </w:p>
    <w:p w:rsidR="005D4D4E" w:rsidRPr="005D4D4E" w:rsidRDefault="005D4D4E" w:rsidP="005D4D4E">
      <w:pPr>
        <w:autoSpaceDE w:val="0"/>
        <w:autoSpaceDN w:val="0"/>
        <w:adjustRightInd w:val="0"/>
        <w:spacing w:after="0" w:line="240" w:lineRule="auto"/>
        <w:jc w:val="both"/>
        <w:rPr>
          <w:rFonts w:ascii="TimesLT" w:hAnsi="TimesLT" w:cs="TimesLT"/>
          <w:b/>
          <w:bCs/>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There also appears to be a shortage of publications available to students in the area of Jazz which is especially problematic because most recognized texts in this area are in languages other than Lithuanian. The LMTA KF acknowledges the shortage of texts in Lithuanian in this and other areas and has partially solved the problem by encouraging the teachers to create their own texts, several of which have become recognized, published and widely-used textbooks in Lithuania. The visiting experts commend the institution for this effort and encourage even further progress as financial conditions allow.</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color w:val="000000"/>
          <w:sz w:val="24"/>
          <w:szCs w:val="24"/>
          <w:lang w:val="en-GB"/>
        </w:rPr>
        <w:t>4.2.2. Suitability and accessibility of learning materials</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As mentioned above in this report, the scholarly activities of the LMTA KF faculty have helped fill the publications deficiencies of quality texts in Lithuanian. According to the SA, the greatest current need is for textbooks that deal with Lithuanian contemporary music since 1950. The visiting experts encourage the LMTA to continue to find solutions, both internal and external, to reduce this shortage.</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The Library appears well stocked to meet student needs in most areas and has operating hours which appears adequate based on student traffic, faculty needs, and budgetary considerations.  Since students from the Kaunas Faculty have access to the stock of the Vilnius Library, it is the experts’ opinion that they have sufficient access to learning materials. Availability of electronic subscriptions including </w:t>
      </w:r>
      <w:proofErr w:type="spellStart"/>
      <w:r w:rsidRPr="005D4D4E">
        <w:rPr>
          <w:rFonts w:ascii="TimesLT" w:hAnsi="TimesLT" w:cs="TimesLT"/>
          <w:i/>
          <w:iCs/>
          <w:color w:val="000000"/>
          <w:sz w:val="24"/>
          <w:szCs w:val="24"/>
          <w:lang w:val="en-GB"/>
        </w:rPr>
        <w:t>Jstor</w:t>
      </w:r>
      <w:proofErr w:type="spellEnd"/>
      <w:r w:rsidRPr="005D4D4E">
        <w:rPr>
          <w:rFonts w:ascii="TimesLT" w:hAnsi="TimesLT" w:cs="TimesLT"/>
          <w:color w:val="000000"/>
          <w:sz w:val="24"/>
          <w:szCs w:val="24"/>
          <w:lang w:val="en-GB"/>
        </w:rPr>
        <w:t xml:space="preserve"> and </w:t>
      </w:r>
      <w:r w:rsidRPr="005D4D4E">
        <w:rPr>
          <w:rFonts w:ascii="TimesLT" w:hAnsi="TimesLT" w:cs="TimesLT"/>
          <w:i/>
          <w:iCs/>
          <w:color w:val="000000"/>
          <w:sz w:val="24"/>
          <w:szCs w:val="24"/>
          <w:lang w:val="en-GB"/>
        </w:rPr>
        <w:t>Project Muse</w:t>
      </w:r>
      <w:r w:rsidRPr="005D4D4E">
        <w:rPr>
          <w:rFonts w:ascii="TimesLT" w:hAnsi="TimesLT" w:cs="TimesLT"/>
          <w:color w:val="000000"/>
          <w:sz w:val="24"/>
          <w:szCs w:val="24"/>
          <w:lang w:val="en-GB"/>
        </w:rPr>
        <w:t xml:space="preserve"> appears sufficient for the needs of the program.  In the opinion of the experts, LMTA KF is well provisioned with methodological publications and provides access to necessary learning materials and aids.</w:t>
      </w:r>
    </w:p>
    <w:p w:rsidR="005D4D4E" w:rsidRPr="005D4D4E" w:rsidRDefault="005D4D4E" w:rsidP="005D4D4E">
      <w:pPr>
        <w:keepNext/>
        <w:autoSpaceDE w:val="0"/>
        <w:autoSpaceDN w:val="0"/>
        <w:adjustRightInd w:val="0"/>
        <w:spacing w:before="240" w:after="60" w:line="360" w:lineRule="auto"/>
        <w:jc w:val="both"/>
        <w:outlineLvl w:val="1"/>
        <w:rPr>
          <w:rFonts w:ascii="TimesLT" w:hAnsi="TimesLT" w:cs="TimesLT"/>
          <w:b/>
          <w:bCs/>
          <w:i/>
          <w:iCs/>
          <w:sz w:val="24"/>
          <w:szCs w:val="24"/>
          <w:lang w:val="en-GB"/>
        </w:rPr>
      </w:pPr>
      <w:r w:rsidRPr="005D4D4E">
        <w:rPr>
          <w:rFonts w:ascii="TimesLT" w:hAnsi="TimesLT" w:cs="TimesLT"/>
          <w:b/>
          <w:bCs/>
          <w:i/>
          <w:iCs/>
          <w:sz w:val="24"/>
          <w:szCs w:val="24"/>
          <w:lang w:val="en-GB"/>
        </w:rPr>
        <w:t>5. Study process and student assessment</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i/>
          <w:iCs/>
          <w:sz w:val="24"/>
          <w:szCs w:val="24"/>
          <w:lang w:val="en-GB"/>
        </w:rPr>
        <w:t>5.1.1 Relevance of requirements on admission to the studies</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The visit of the experts happens at a very specific moment since the assessed programs are under the process of heavy modifications to fit to the new law passed in 2010. Furthermore, new admission rules have been edited in May 2009 and already been applicable for the academic year 2009-10; with as a result some confusion and significant changes in the student’s profiles and students number in the various programs. The commission expresses concern about the weight of the general education scores compared to the artistic and pedagogical skills of potential students in the new system, </w:t>
      </w:r>
      <w:proofErr w:type="gramStart"/>
      <w:r w:rsidRPr="005D4D4E">
        <w:rPr>
          <w:rFonts w:ascii="TimesLT" w:hAnsi="TimesLT" w:cs="TimesLT"/>
          <w:sz w:val="24"/>
          <w:szCs w:val="24"/>
          <w:lang w:val="en-GB"/>
        </w:rPr>
        <w:t>who</w:t>
      </w:r>
      <w:proofErr w:type="gramEnd"/>
      <w:r w:rsidRPr="005D4D4E">
        <w:rPr>
          <w:rFonts w:ascii="TimesLT" w:hAnsi="TimesLT" w:cs="TimesLT"/>
          <w:sz w:val="24"/>
          <w:szCs w:val="24"/>
          <w:lang w:val="en-GB"/>
        </w:rPr>
        <w:t xml:space="preserve"> can indeed be discarded for irrelevant reasons. This may create discrepancies and negative tensions under the various fields of the institution, not to speak about the general quality level. Although the commission is sure that the new regulations were applied on a fair and transparent basis, it encourages the partners to find specific regulations for the field of music in order not to bypass talented students. After talking to representative of the post-secondary and </w:t>
      </w:r>
      <w:r w:rsidRPr="005D4D4E">
        <w:rPr>
          <w:rFonts w:ascii="TimesLT" w:hAnsi="TimesLT" w:cs="TimesLT"/>
          <w:sz w:val="24"/>
          <w:szCs w:val="24"/>
          <w:lang w:val="en-GB"/>
        </w:rPr>
        <w:lastRenderedPageBreak/>
        <w:t xml:space="preserve">precollege level, it also encourages </w:t>
      </w:r>
      <w:proofErr w:type="gramStart"/>
      <w:r w:rsidRPr="005D4D4E">
        <w:rPr>
          <w:rFonts w:ascii="TimesLT" w:hAnsi="TimesLT" w:cs="TimesLT"/>
          <w:sz w:val="24"/>
          <w:szCs w:val="24"/>
          <w:lang w:val="en-GB"/>
        </w:rPr>
        <w:t>to tighten</w:t>
      </w:r>
      <w:proofErr w:type="gramEnd"/>
      <w:r w:rsidRPr="005D4D4E">
        <w:rPr>
          <w:rFonts w:ascii="TimesLT" w:hAnsi="TimesLT" w:cs="TimesLT"/>
          <w:sz w:val="24"/>
          <w:szCs w:val="24"/>
          <w:lang w:val="en-GB"/>
        </w:rPr>
        <w:t xml:space="preserve"> the links between the conservatoires and the higher level music institutions (see recommendation III.5.1).</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i/>
          <w:iCs/>
          <w:sz w:val="24"/>
          <w:szCs w:val="24"/>
          <w:lang w:val="en-GB"/>
        </w:rPr>
        <w:t>5.1.2 Efficiency of enhancing the motivation of future and new students</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The main motivation for students to apply for studies in Kaunas is the fact that the school is located in Kaunas.  A majority of the students studying at Kaunas are from that region, and intend to stay there.  </w:t>
      </w:r>
    </w:p>
    <w:p w:rsidR="005D4D4E" w:rsidRPr="005D4D4E" w:rsidRDefault="005D4D4E" w:rsidP="005D4D4E">
      <w:pPr>
        <w:autoSpaceDE w:val="0"/>
        <w:autoSpaceDN w:val="0"/>
        <w:adjustRightInd w:val="0"/>
        <w:spacing w:before="100" w:after="100" w:line="240" w:lineRule="auto"/>
        <w:jc w:val="both"/>
        <w:rPr>
          <w:rFonts w:ascii="TimesLT" w:hAnsi="TimesLT" w:cs="TimesLT"/>
          <w:sz w:val="24"/>
          <w:szCs w:val="24"/>
          <w:lang w:val="en-GB"/>
        </w:rPr>
      </w:pPr>
      <w:r w:rsidRPr="005D4D4E">
        <w:rPr>
          <w:rFonts w:ascii="TimesLT" w:hAnsi="TimesLT" w:cs="TimesLT"/>
          <w:sz w:val="24"/>
          <w:szCs w:val="24"/>
          <w:lang w:val="en-GB"/>
        </w:rPr>
        <w:t xml:space="preserve">This is in fact, one of the strengths of the program and demonstrates the necessity for such a program to be offered in that region, however, the danger of such a situation is that the program, students and staff become too ingrown and introverted.  </w:t>
      </w:r>
    </w:p>
    <w:p w:rsidR="005D4D4E" w:rsidRPr="005D4D4E" w:rsidRDefault="005D4D4E" w:rsidP="005D4D4E">
      <w:pPr>
        <w:autoSpaceDE w:val="0"/>
        <w:autoSpaceDN w:val="0"/>
        <w:adjustRightInd w:val="0"/>
        <w:spacing w:before="100" w:after="100" w:line="240" w:lineRule="auto"/>
        <w:jc w:val="both"/>
        <w:rPr>
          <w:rFonts w:ascii="TimesLT" w:hAnsi="TimesLT" w:cs="TimesLT"/>
          <w:sz w:val="24"/>
          <w:szCs w:val="24"/>
          <w:lang w:val="en-GB"/>
        </w:rPr>
      </w:pPr>
      <w:r w:rsidRPr="005D4D4E">
        <w:rPr>
          <w:rFonts w:ascii="TimesLT" w:hAnsi="TimesLT" w:cs="TimesLT"/>
          <w:sz w:val="24"/>
          <w:szCs w:val="24"/>
          <w:lang w:val="en-GB"/>
        </w:rPr>
        <w:t>The experts noted a definite concern about the quality of applicants, not only due to the new application procedures in Lithuania, but also due to the fact that there seems to be a gap in the music school system, where students are dropping out of the music schools approximately four years before they should be applying for the Academy. This is indeed serious, and the experts strongly recommend that the faculty at Kaunas take measures in being proactive towards that age level. One way might be to try to ensure that teachers teaching at that level (highest level of general music schools or conservatoires) have the right competences to teach at that level, and are well trained in new emerging areas of music, where the interests of the teenagers might lie.  Another suggestion would be to encourage the cooperation between the chamber music teachers of the Academy with the conservatoire, offering the most advanced students to take part in chamber music with the Academy students. In that way younger students might be encouraged to decide to study at the Academy and the bonus would be larger instrumental body for the chamber music program (recommendation III.5.1).           </w:t>
      </w:r>
    </w:p>
    <w:p w:rsidR="005D4D4E" w:rsidRPr="005D4D4E" w:rsidRDefault="005D4D4E" w:rsidP="005D4D4E">
      <w:pPr>
        <w:autoSpaceDE w:val="0"/>
        <w:autoSpaceDN w:val="0"/>
        <w:adjustRightInd w:val="0"/>
        <w:spacing w:before="100" w:after="100" w:line="240" w:lineRule="auto"/>
        <w:jc w:val="both"/>
        <w:rPr>
          <w:rFonts w:ascii="TimesLT" w:hAnsi="TimesLT" w:cs="TimesLT"/>
          <w:sz w:val="24"/>
          <w:szCs w:val="24"/>
          <w:lang w:val="en-GB"/>
        </w:rPr>
      </w:pPr>
      <w:r w:rsidRPr="005D4D4E">
        <w:rPr>
          <w:rFonts w:ascii="TimesLT" w:hAnsi="TimesLT" w:cs="TimesLT"/>
          <w:sz w:val="24"/>
          <w:szCs w:val="24"/>
          <w:lang w:val="en-GB"/>
        </w:rPr>
        <w:t xml:space="preserve">The experts also noted with interest that several of the students are already teaching in the various music schools, and being faced with the reality of a teaching position have decided to take the pedagogical course in order to be better qualified and have more job security. </w:t>
      </w: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i/>
          <w:iCs/>
          <w:sz w:val="24"/>
          <w:szCs w:val="24"/>
          <w:lang w:val="en-GB"/>
        </w:rPr>
      </w:pPr>
      <w:r w:rsidRPr="005D4D4E">
        <w:rPr>
          <w:rFonts w:ascii="TimesLT" w:hAnsi="TimesLT" w:cs="TimesLT"/>
          <w:b/>
          <w:bCs/>
          <w:i/>
          <w:iCs/>
          <w:sz w:val="24"/>
          <w:szCs w:val="24"/>
          <w:lang w:val="en-GB"/>
        </w:rPr>
        <w:t>5.2. Study process</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5.2.1. Rationality of the program schedule</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Student’s workload appears to be distributed evenly and fairly throughout the school year. Students have several performance opportunities; both within the Academy (there is a concert hall) and outside. Many students are participating in various music organizations as well as travelling to competitions. The institution supports this and students appear to have enough freedom to be as active as they wish.  Though there is no indication that students receive any formal assessment or feedback on their public performances, because of the smallness and close ties between students and staff, there is much awareness of what and how the students are doing and informal feedback given. Several students find time to teach alongside their studies.</w:t>
      </w:r>
    </w:p>
    <w:p w:rsidR="005D4D4E" w:rsidRPr="005D4D4E" w:rsidRDefault="005D4D4E" w:rsidP="005D4D4E">
      <w:pPr>
        <w:tabs>
          <w:tab w:val="left" w:pos="360"/>
        </w:tabs>
        <w:autoSpaceDE w:val="0"/>
        <w:autoSpaceDN w:val="0"/>
        <w:adjustRightInd w:val="0"/>
        <w:spacing w:after="0" w:line="240" w:lineRule="auto"/>
        <w:ind w:firstLine="360"/>
        <w:jc w:val="both"/>
        <w:rPr>
          <w:rFonts w:ascii="TimesLT" w:hAnsi="TimesLT" w:cs="TimesLT"/>
          <w:color w:val="000000"/>
          <w:sz w:val="24"/>
          <w:szCs w:val="24"/>
          <w:highlight w:val="yellow"/>
          <w:lang w:val="en-GB"/>
        </w:rPr>
      </w:pPr>
      <w:r w:rsidRPr="005D4D4E">
        <w:rPr>
          <w:rFonts w:ascii="TimesLT" w:hAnsi="TimesLT" w:cs="TimesLT"/>
          <w:sz w:val="24"/>
          <w:szCs w:val="24"/>
          <w:lang w:val="en-GB"/>
        </w:rPr>
        <w:tab/>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color w:val="000000"/>
          <w:sz w:val="24"/>
          <w:szCs w:val="24"/>
          <w:lang w:val="en-GB"/>
        </w:rPr>
        <w:t xml:space="preserve">5.2.2. </w:t>
      </w:r>
      <w:r w:rsidRPr="005D4D4E">
        <w:rPr>
          <w:rFonts w:ascii="TimesLT" w:hAnsi="TimesLT" w:cs="TimesLT"/>
          <w:i/>
          <w:iCs/>
          <w:sz w:val="24"/>
          <w:szCs w:val="24"/>
          <w:lang w:val="en-GB"/>
        </w:rPr>
        <w:t>Student academic performance</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performance of students and the retention rate appear appropriate for this level of music program with a small percentage of students asked to withdraw because of poor performance.  Most student who do not complete the program leave for personal reasons and there is a counselling system in place to advise them in an attempt to keep them enrolled or help them find their way after early departure from the program. Table 5 of the SA shows the withdrawal and graduation rates from 2005-2009. Nevertheless, the small quantity of students in the GMD Master makes a scientific extrapolation difficult.</w:t>
      </w:r>
    </w:p>
    <w:p w:rsidR="005D4D4E" w:rsidRPr="005D4D4E" w:rsidRDefault="005D4D4E" w:rsidP="005D4D4E">
      <w:pPr>
        <w:tabs>
          <w:tab w:val="left" w:pos="360"/>
        </w:tabs>
        <w:autoSpaceDE w:val="0"/>
        <w:autoSpaceDN w:val="0"/>
        <w:adjustRightInd w:val="0"/>
        <w:spacing w:after="0" w:line="240" w:lineRule="auto"/>
        <w:ind w:firstLine="360"/>
        <w:jc w:val="both"/>
        <w:rPr>
          <w:rFonts w:ascii="TimesLT" w:hAnsi="TimesLT" w:cs="TimesLT"/>
          <w:color w:val="000000"/>
          <w:sz w:val="24"/>
          <w:szCs w:val="24"/>
          <w:highlight w:val="yellow"/>
          <w:lang w:val="en-GB"/>
        </w:rPr>
      </w:pPr>
      <w:r w:rsidRPr="005D4D4E">
        <w:rPr>
          <w:rFonts w:ascii="TimesLT" w:hAnsi="TimesLT" w:cs="TimesLT"/>
          <w:sz w:val="24"/>
          <w:szCs w:val="24"/>
          <w:lang w:val="en-GB"/>
        </w:rPr>
        <w:tab/>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5.2.3. Mobility of teachers and students</w:t>
      </w:r>
    </w:p>
    <w:p w:rsidR="005D4D4E" w:rsidRPr="005D4D4E" w:rsidRDefault="005D4D4E" w:rsidP="005D4D4E">
      <w:pPr>
        <w:autoSpaceDE w:val="0"/>
        <w:autoSpaceDN w:val="0"/>
        <w:adjustRightInd w:val="0"/>
        <w:spacing w:before="100" w:after="100" w:line="240" w:lineRule="auto"/>
        <w:jc w:val="both"/>
        <w:rPr>
          <w:rFonts w:ascii="TimesLT" w:hAnsi="TimesLT" w:cs="TimesLT"/>
          <w:sz w:val="24"/>
          <w:szCs w:val="24"/>
          <w:lang w:val="en-GB"/>
        </w:rPr>
      </w:pPr>
      <w:r w:rsidRPr="005D4D4E">
        <w:rPr>
          <w:rFonts w:ascii="TimesLT" w:hAnsi="TimesLT" w:cs="TimesLT"/>
          <w:sz w:val="24"/>
          <w:szCs w:val="24"/>
          <w:lang w:val="en-GB"/>
        </w:rPr>
        <w:lastRenderedPageBreak/>
        <w:t xml:space="preserve">Teachers and students have the possibility of going on Erasmus and </w:t>
      </w:r>
      <w:proofErr w:type="spellStart"/>
      <w:r w:rsidRPr="005D4D4E">
        <w:rPr>
          <w:rFonts w:ascii="TimesLT" w:hAnsi="TimesLT" w:cs="TimesLT"/>
          <w:sz w:val="24"/>
          <w:szCs w:val="24"/>
          <w:lang w:val="en-GB"/>
        </w:rPr>
        <w:t>Nordplus</w:t>
      </w:r>
      <w:proofErr w:type="spellEnd"/>
      <w:r w:rsidRPr="005D4D4E">
        <w:rPr>
          <w:rFonts w:ascii="TimesLT" w:hAnsi="TimesLT" w:cs="TimesLT"/>
          <w:sz w:val="24"/>
          <w:szCs w:val="24"/>
          <w:lang w:val="en-GB"/>
        </w:rPr>
        <w:t xml:space="preserve"> exchanges, but there is not much activity in that area. The experts would like to encourage the institution to advocate mobility. Those students who have travelled expressed coming back more open minded and secure that what they have indeed been learning at home is quite comparable to what is offered elsewhere (except for instruments and facilities). This should be regarded as positive by the institution. At the same time the experts note with concern that students of Didactics had no idea they could take part in mobility programs, weren’t aware of the fact that there was an international advisor available for them. The question must be asked, why not? It is a strong recommendation that the Academy in Kaunas take measures to ensure that the students have access to the International relations office. One suggestion might be that the IR officer comes to Kaunas once a week, both to have sessions explaining the available mobility grants and so that students and staff can have better direct access. The experts also noted with interest that several of the students are already teaching in the various music schools, and being faced with the reality of a teaching position have decided to take the pedagogical course in order to be better qualified and have more job security (see recommendation III.5.2).</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highlight w:val="yellow"/>
          <w:lang w:val="en-GB"/>
        </w:rPr>
      </w:pP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r w:rsidRPr="005D4D4E">
        <w:rPr>
          <w:rFonts w:ascii="TimesLT" w:hAnsi="TimesLT" w:cs="TimesLT"/>
          <w:b/>
          <w:bCs/>
          <w:sz w:val="24"/>
          <w:szCs w:val="24"/>
          <w:lang w:val="en-GB"/>
        </w:rPr>
        <w:t xml:space="preserve">5.3. Student support </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5.3.1. Usefulness of academic support</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sz w:val="24"/>
          <w:szCs w:val="24"/>
          <w:lang w:val="en-GB"/>
        </w:rPr>
        <w:t xml:space="preserve">The first effort toward student support which the LMTA KF makes is communication of basic information about each study program including courses and financing, expected outcomes, study structure and opportunities for mobility both on its website and during open-door sessions each Spring. According to the SA, new students have appropriate orientation meetings with Faculty Deans and administrators during which they reinforce the basic information and answer students’ questions. There also appears to be appropriate, ongoing counselling, both oral and written, for students during their period of study at LMTA KF. Career counselling is an important part of the process with LMTA KF teachers serving as the primary conduit to the profession. At the end of 2009, the LMTA began a student career consulting service. By March 2010, a cooperative project in this area was expected to begin involving other institutions including Vilnius University.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tabs>
          <w:tab w:val="left" w:pos="360"/>
        </w:tabs>
        <w:autoSpaceDE w:val="0"/>
        <w:autoSpaceDN w:val="0"/>
        <w:adjustRightInd w:val="0"/>
        <w:spacing w:after="0" w:line="240" w:lineRule="auto"/>
        <w:ind w:left="720" w:hanging="360"/>
        <w:jc w:val="both"/>
        <w:rPr>
          <w:rFonts w:ascii="TimesLT" w:hAnsi="TimesLT" w:cs="TimesLT"/>
          <w:color w:val="000000"/>
          <w:sz w:val="24"/>
          <w:szCs w:val="24"/>
          <w:lang w:val="en-GB"/>
        </w:rPr>
      </w:pPr>
      <w:r w:rsidRPr="005D4D4E">
        <w:rPr>
          <w:rFonts w:ascii="TimesLT" w:hAnsi="TimesLT" w:cs="TimesLT"/>
          <w:sz w:val="24"/>
          <w:szCs w:val="24"/>
          <w:lang w:val="en-GB"/>
        </w:rPr>
        <w:tab/>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i/>
          <w:iCs/>
          <w:sz w:val="24"/>
          <w:szCs w:val="24"/>
          <w:lang w:val="en-GB"/>
        </w:rPr>
        <w:t>5.3.2</w:t>
      </w:r>
      <w:r w:rsidRPr="005D4D4E">
        <w:rPr>
          <w:rFonts w:ascii="TimesLT" w:hAnsi="TimesLT" w:cs="TimesLT"/>
          <w:sz w:val="24"/>
          <w:szCs w:val="24"/>
          <w:lang w:val="en-GB"/>
        </w:rPr>
        <w:t xml:space="preserve">. </w:t>
      </w:r>
      <w:r w:rsidRPr="005D4D4E">
        <w:rPr>
          <w:rFonts w:ascii="TimesLT" w:hAnsi="TimesLT" w:cs="TimesLT"/>
          <w:i/>
          <w:iCs/>
          <w:sz w:val="24"/>
          <w:szCs w:val="24"/>
          <w:lang w:val="en-GB"/>
        </w:rPr>
        <w:t>Efficiency of social support</w:t>
      </w:r>
    </w:p>
    <w:p w:rsidR="005D4D4E" w:rsidRPr="005D4D4E" w:rsidRDefault="005D4D4E" w:rsidP="005D4D4E">
      <w:pPr>
        <w:autoSpaceDE w:val="0"/>
        <w:autoSpaceDN w:val="0"/>
        <w:adjustRightInd w:val="0"/>
        <w:spacing w:after="0" w:line="240" w:lineRule="auto"/>
        <w:jc w:val="both"/>
        <w:rPr>
          <w:rFonts w:ascii="TimesLT" w:hAnsi="TimesLT" w:cs="TimesLT"/>
          <w:color w:val="FF0000"/>
          <w:sz w:val="24"/>
          <w:szCs w:val="24"/>
          <w:lang w:val="en-GB"/>
        </w:rPr>
      </w:pPr>
      <w:r w:rsidRPr="005D4D4E">
        <w:rPr>
          <w:rFonts w:ascii="TimesLT" w:hAnsi="TimesLT" w:cs="TimesLT"/>
          <w:sz w:val="24"/>
          <w:szCs w:val="24"/>
          <w:lang w:val="en-GB"/>
        </w:rPr>
        <w:t>There appears to be psychological support available for students as needed but the experts encourage the development of this area through the development of resources especially those available through other institutions of Higher Education in Kaunas</w:t>
      </w:r>
      <w:r w:rsidRPr="005D4D4E">
        <w:rPr>
          <w:rFonts w:ascii="TimesLT" w:hAnsi="TimesLT" w:cs="TimesLT"/>
          <w:color w:val="FF0000"/>
          <w:sz w:val="24"/>
          <w:szCs w:val="24"/>
          <w:lang w:val="en-GB"/>
        </w:rPr>
        <w:t xml:space="preserve">.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roofErr w:type="gramStart"/>
      <w:r w:rsidRPr="005D4D4E">
        <w:rPr>
          <w:rFonts w:ascii="TimesLT" w:hAnsi="TimesLT" w:cs="TimesLT"/>
          <w:sz w:val="24"/>
          <w:szCs w:val="24"/>
          <w:lang w:val="en-GB"/>
        </w:rPr>
        <w:t>If necessary LMTA KF makes available dormitory accommodation by renting from the Lithuanian University of Agriculture and Kaunas District.</w:t>
      </w:r>
      <w:proofErr w:type="gramEnd"/>
      <w:r w:rsidRPr="005D4D4E">
        <w:rPr>
          <w:rFonts w:ascii="TimesLT" w:hAnsi="TimesLT" w:cs="TimesLT"/>
          <w:sz w:val="24"/>
          <w:szCs w:val="24"/>
          <w:lang w:val="en-GB"/>
        </w:rPr>
        <w:t xml:space="preserve"> According to the SA, 20 LMTA KF students stay in dormitories each year. The experts found that this is sufficient based on information gathered during the visit because other students can rent accommodations at a reasonable rate nearby.</w:t>
      </w:r>
      <w:r w:rsidRPr="005D4D4E">
        <w:rPr>
          <w:rFonts w:ascii="TimesLT" w:hAnsi="TimesLT" w:cs="TimesLT"/>
          <w:i/>
          <w:iCs/>
          <w:sz w:val="24"/>
          <w:szCs w:val="24"/>
          <w:lang w:val="en-GB"/>
        </w:rPr>
        <w:t xml:space="preserve"> </w:t>
      </w:r>
      <w:r w:rsidRPr="005D4D4E">
        <w:rPr>
          <w:rFonts w:ascii="TimesLT" w:hAnsi="TimesLT" w:cs="TimesLT"/>
          <w:sz w:val="24"/>
          <w:szCs w:val="24"/>
          <w:lang w:val="en-GB"/>
        </w:rPr>
        <w:t xml:space="preserve">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jc w:val="both"/>
        <w:rPr>
          <w:rFonts w:ascii="TimesLT" w:hAnsi="TimesLT" w:cs="TimesLT"/>
          <w:b/>
          <w:bCs/>
          <w:i/>
          <w:iCs/>
          <w:sz w:val="24"/>
          <w:szCs w:val="24"/>
          <w:lang w:val="en-GB"/>
        </w:rPr>
      </w:pPr>
      <w:r w:rsidRPr="005D4D4E">
        <w:rPr>
          <w:rFonts w:ascii="TimesLT" w:hAnsi="TimesLT" w:cs="TimesLT"/>
          <w:b/>
          <w:bCs/>
          <w:i/>
          <w:iCs/>
          <w:sz w:val="24"/>
          <w:szCs w:val="24"/>
          <w:lang w:val="en-GB"/>
        </w:rPr>
        <w:t xml:space="preserve">5.4. Student achievement assessment </w:t>
      </w:r>
    </w:p>
    <w:p w:rsidR="005D4D4E" w:rsidRPr="005D4D4E" w:rsidRDefault="005D4D4E" w:rsidP="005D4D4E">
      <w:pPr>
        <w:autoSpaceDE w:val="0"/>
        <w:autoSpaceDN w:val="0"/>
        <w:adjustRightInd w:val="0"/>
        <w:spacing w:after="0" w:line="240" w:lineRule="auto"/>
        <w:jc w:val="both"/>
        <w:rPr>
          <w:rFonts w:ascii="TimesLT" w:hAnsi="TimesLT" w:cs="TimesLT"/>
          <w:b/>
          <w:bCs/>
          <w:i/>
          <w:iCs/>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 xml:space="preserve">5.4.1. Suitability of assessment criteria and their publicity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As checked in the documentation and during the site visit, the assessment </w:t>
      </w:r>
      <w:proofErr w:type="spellStart"/>
      <w:r w:rsidRPr="005D4D4E">
        <w:rPr>
          <w:rFonts w:ascii="TimesLT" w:hAnsi="TimesLT" w:cs="TimesLT"/>
          <w:color w:val="000000"/>
          <w:sz w:val="24"/>
          <w:szCs w:val="24"/>
          <w:lang w:val="en-GB"/>
        </w:rPr>
        <w:t>criterias</w:t>
      </w:r>
      <w:proofErr w:type="spellEnd"/>
      <w:r w:rsidRPr="005D4D4E">
        <w:rPr>
          <w:rFonts w:ascii="TimesLT" w:hAnsi="TimesLT" w:cs="TimesLT"/>
          <w:color w:val="000000"/>
          <w:sz w:val="24"/>
          <w:szCs w:val="24"/>
          <w:lang w:val="en-GB"/>
        </w:rPr>
        <w:t xml:space="preserve"> and processes are clearly regulated, described and published (see Annex 3.1) and available to students and faculty. The students are also clearly informed about appeals procedures.</w:t>
      </w:r>
    </w:p>
    <w:p w:rsidR="005D4D4E" w:rsidRPr="005D4D4E" w:rsidRDefault="005D4D4E" w:rsidP="005D4D4E">
      <w:pPr>
        <w:tabs>
          <w:tab w:val="left" w:pos="360"/>
        </w:tabs>
        <w:autoSpaceDE w:val="0"/>
        <w:autoSpaceDN w:val="0"/>
        <w:adjustRightInd w:val="0"/>
        <w:spacing w:after="0" w:line="240" w:lineRule="auto"/>
        <w:ind w:firstLine="360"/>
        <w:jc w:val="both"/>
        <w:rPr>
          <w:rFonts w:ascii="TimesLT" w:hAnsi="TimesLT" w:cs="TimesLT"/>
          <w:color w:val="000000"/>
          <w:sz w:val="24"/>
          <w:szCs w:val="24"/>
          <w:highlight w:val="yellow"/>
          <w:lang w:val="en-GB"/>
        </w:rPr>
      </w:pPr>
      <w:r w:rsidRPr="005D4D4E">
        <w:rPr>
          <w:rFonts w:ascii="TimesLT" w:hAnsi="TimesLT" w:cs="TimesLT"/>
          <w:color w:val="000000"/>
          <w:sz w:val="24"/>
          <w:szCs w:val="24"/>
          <w:lang w:val="en-GB"/>
        </w:rPr>
        <w:tab/>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5.4.2. </w:t>
      </w:r>
      <w:r w:rsidRPr="005D4D4E">
        <w:rPr>
          <w:rFonts w:ascii="TimesLT" w:hAnsi="TimesLT" w:cs="TimesLT"/>
          <w:i/>
          <w:iCs/>
          <w:color w:val="000000"/>
          <w:sz w:val="24"/>
          <w:szCs w:val="24"/>
          <w:lang w:val="en-GB"/>
        </w:rPr>
        <w:t>Feedback efficiency</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lastRenderedPageBreak/>
        <w:t xml:space="preserve">According to the SA, </w:t>
      </w:r>
      <w:r w:rsidRPr="005D4D4E">
        <w:rPr>
          <w:rFonts w:ascii="TimesLT" w:hAnsi="TimesLT" w:cs="TimesLT"/>
          <w:sz w:val="24"/>
          <w:szCs w:val="24"/>
          <w:lang w:val="en-GB"/>
        </w:rPr>
        <w:t>students traditionally receive the most exhaustive information about advantages and shortcomings of their assessment du</w:t>
      </w:r>
      <w:r w:rsidRPr="005D4D4E">
        <w:rPr>
          <w:rFonts w:ascii="TimesLT" w:hAnsi="TimesLT" w:cs="TimesLT"/>
          <w:color w:val="000000"/>
          <w:sz w:val="24"/>
          <w:szCs w:val="24"/>
          <w:lang w:val="en-GB"/>
        </w:rPr>
        <w:t>ring classes, exams and practical work through their teachers and also through external partners when applicable.</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5.4.3. </w:t>
      </w:r>
      <w:r w:rsidRPr="005D4D4E">
        <w:rPr>
          <w:rFonts w:ascii="TimesLT" w:hAnsi="TimesLT" w:cs="TimesLT"/>
          <w:i/>
          <w:iCs/>
          <w:sz w:val="24"/>
          <w:szCs w:val="24"/>
          <w:lang w:val="en-GB"/>
        </w:rPr>
        <w:t>Efficiency of final thesis assessment</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There appears to be an efficient process of final project assessment described in the SA. A jury of experts assesses the project including someone who has not worked in the department for at least 3 years serving a chairperson. The visiting experts feel that this is an example of the typical internationally recognized system of evaluation using a jury of experts, some or all of whom have no direct connection with the candidate, to validate the course of study toward the diploma.</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final examination cannot be subject to appeals.</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color w:val="000000"/>
          <w:sz w:val="24"/>
          <w:szCs w:val="24"/>
          <w:lang w:val="en-GB"/>
        </w:rPr>
        <w:t>5.4.4.</w:t>
      </w:r>
      <w:r w:rsidRPr="005D4D4E">
        <w:rPr>
          <w:rFonts w:ascii="TimesLT" w:hAnsi="TimesLT" w:cs="TimesLT"/>
          <w:i/>
          <w:iCs/>
          <w:sz w:val="24"/>
          <w:szCs w:val="24"/>
          <w:lang w:val="en-GB"/>
        </w:rPr>
        <w:t xml:space="preserve"> Functionality of the system for assessment and recognition of achievements acquired in non-formal and self-education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Of special importance is the assessment and recognition of achievements acquired out of academic formal structures (maximum 20% of the total credits required for graduation). Due to the fast social and academic changes and to the mobility growth, one can assume this process is going to increase in a significant way during the next years. The experts’ commission therefore recommends the LMTA KF to be fair and cautious in the administration of this process which is based primarily on the evaluation of documents (see recommendation III.5.3).</w:t>
      </w: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r w:rsidRPr="005D4D4E">
        <w:rPr>
          <w:rFonts w:ascii="TimesLT" w:hAnsi="TimesLT" w:cs="TimesLT"/>
          <w:b/>
          <w:bCs/>
          <w:sz w:val="24"/>
          <w:szCs w:val="24"/>
          <w:lang w:val="en-GB"/>
        </w:rPr>
        <w:t>5.5. Graduates placement</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i/>
          <w:iCs/>
          <w:color w:val="000000"/>
          <w:sz w:val="24"/>
          <w:szCs w:val="24"/>
          <w:lang w:val="en-GB"/>
        </w:rPr>
        <w:t>5.5.1.</w:t>
      </w:r>
      <w:r w:rsidRPr="005D4D4E">
        <w:rPr>
          <w:rFonts w:ascii="TimesLT" w:hAnsi="TimesLT" w:cs="TimesLT"/>
          <w:i/>
          <w:iCs/>
          <w:sz w:val="24"/>
          <w:szCs w:val="24"/>
          <w:lang w:val="en-GB"/>
        </w:rPr>
        <w:t xml:space="preserve"> Expediency of graduate placement  </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score of graduate placement (96%) is very high and speaks for the efficiency of the program in term of employability. Nevertheless, the commission recommends the LMTA KF to keep a close look to the market evolution and to take proactive steps to anticipate changes when appropriated.</w:t>
      </w:r>
    </w:p>
    <w:p w:rsidR="005D4D4E" w:rsidRPr="005D4D4E" w:rsidRDefault="005D4D4E" w:rsidP="005D4D4E">
      <w:pPr>
        <w:tabs>
          <w:tab w:val="left" w:pos="360"/>
        </w:tabs>
        <w:autoSpaceDE w:val="0"/>
        <w:autoSpaceDN w:val="0"/>
        <w:adjustRightInd w:val="0"/>
        <w:spacing w:after="0" w:line="240" w:lineRule="auto"/>
        <w:ind w:firstLine="360"/>
        <w:jc w:val="both"/>
        <w:rPr>
          <w:rFonts w:ascii="TimesLT" w:hAnsi="TimesLT" w:cs="TimesLT"/>
          <w:color w:val="000000"/>
          <w:sz w:val="24"/>
          <w:szCs w:val="24"/>
          <w:highlight w:val="yellow"/>
          <w:lang w:val="en-GB"/>
        </w:rPr>
      </w:pPr>
      <w:r w:rsidRPr="005D4D4E">
        <w:rPr>
          <w:rFonts w:ascii="TimesLT" w:hAnsi="TimesLT" w:cs="TimesLT"/>
          <w:color w:val="000000"/>
          <w:sz w:val="24"/>
          <w:szCs w:val="24"/>
          <w:lang w:val="en-GB"/>
        </w:rPr>
        <w:tab/>
      </w:r>
      <w:r w:rsidRPr="005D4D4E">
        <w:rPr>
          <w:rFonts w:ascii="TimesLT" w:hAnsi="TimesLT" w:cs="TimesLT"/>
          <w:color w:val="000000"/>
          <w:sz w:val="24"/>
          <w:szCs w:val="24"/>
          <w:highlight w:val="yellow"/>
          <w:lang w:val="en-GB"/>
        </w:rPr>
        <w:t xml:space="preserve">    </w:t>
      </w:r>
    </w:p>
    <w:p w:rsidR="005D4D4E" w:rsidRPr="005D4D4E" w:rsidRDefault="005D4D4E" w:rsidP="005D4D4E">
      <w:pPr>
        <w:keepNext/>
        <w:autoSpaceDE w:val="0"/>
        <w:autoSpaceDN w:val="0"/>
        <w:adjustRightInd w:val="0"/>
        <w:spacing w:before="240" w:after="60" w:line="360" w:lineRule="auto"/>
        <w:jc w:val="both"/>
        <w:outlineLvl w:val="1"/>
        <w:rPr>
          <w:rFonts w:ascii="TimesLT" w:hAnsi="TimesLT" w:cs="TimesLT"/>
          <w:b/>
          <w:bCs/>
          <w:i/>
          <w:iCs/>
          <w:sz w:val="24"/>
          <w:szCs w:val="24"/>
          <w:lang w:val="en-GB"/>
        </w:rPr>
      </w:pPr>
      <w:r w:rsidRPr="005D4D4E">
        <w:rPr>
          <w:rFonts w:ascii="TimesLT" w:hAnsi="TimesLT" w:cs="TimesLT"/>
          <w:b/>
          <w:bCs/>
          <w:i/>
          <w:iCs/>
          <w:sz w:val="24"/>
          <w:szCs w:val="24"/>
          <w:lang w:val="en-GB"/>
        </w:rPr>
        <w:t>6. Program management</w:t>
      </w:r>
    </w:p>
    <w:p w:rsidR="005D4D4E" w:rsidRPr="005D4D4E" w:rsidRDefault="005D4D4E" w:rsidP="005D4D4E">
      <w:pPr>
        <w:autoSpaceDE w:val="0"/>
        <w:autoSpaceDN w:val="0"/>
        <w:adjustRightInd w:val="0"/>
        <w:spacing w:after="0" w:line="360" w:lineRule="auto"/>
        <w:jc w:val="both"/>
        <w:rPr>
          <w:rFonts w:ascii="TimesLT" w:hAnsi="TimesLT" w:cs="TimesLT"/>
          <w:b/>
          <w:bCs/>
          <w:sz w:val="24"/>
          <w:szCs w:val="24"/>
          <w:lang w:val="en-GB"/>
        </w:rPr>
      </w:pPr>
      <w:r w:rsidRPr="005D4D4E">
        <w:rPr>
          <w:rFonts w:ascii="TimesLT" w:hAnsi="TimesLT" w:cs="TimesLT"/>
          <w:sz w:val="24"/>
          <w:szCs w:val="24"/>
          <w:lang w:val="en-GB"/>
        </w:rPr>
        <w:t xml:space="preserve">6.1. </w:t>
      </w:r>
      <w:r w:rsidRPr="005D4D4E">
        <w:rPr>
          <w:rFonts w:ascii="TimesLT" w:hAnsi="TimesLT" w:cs="TimesLT"/>
          <w:b/>
          <w:bCs/>
          <w:sz w:val="24"/>
          <w:szCs w:val="24"/>
          <w:lang w:val="en-GB"/>
        </w:rPr>
        <w:t xml:space="preserve">Program administration </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6.1.1 Efficiency of the program management activities</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sz w:val="24"/>
          <w:szCs w:val="24"/>
          <w:lang w:val="en-GB"/>
        </w:rPr>
        <w:t>Although the institution does not have a specific and permanent manager in charge for quality assurance beyond the implementation of programs itself, the statutes and the general management scheme seem to provide a structure sufficient to take further steps toward this goal. The duties are distributed from the Rector through various administrators and to the faculties in a clear and organized manner as viewed by the visiting experts. As seen in the SA and during the discussion with the various stakeholders, the coordination of collegiality with personal responsibility in decision making inside the program and in connection with others is working well. All data are transparent and available to the relevant partners thank to the new academic information system implemented in 2009 and to modern medias (e-mail, intranet). The internal communication between the various institutional bodies is satisfactory.</w:t>
      </w: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sz w:val="24"/>
          <w:szCs w:val="24"/>
          <w:lang w:val="en-GB"/>
        </w:rPr>
      </w:pPr>
    </w:p>
    <w:p w:rsidR="005D4D4E" w:rsidRPr="005D4D4E" w:rsidRDefault="005D4D4E" w:rsidP="005D4D4E">
      <w:pPr>
        <w:keepNext/>
        <w:autoSpaceDE w:val="0"/>
        <w:autoSpaceDN w:val="0"/>
        <w:adjustRightInd w:val="0"/>
        <w:spacing w:before="240" w:after="60" w:line="360" w:lineRule="auto"/>
        <w:jc w:val="both"/>
        <w:outlineLvl w:val="2"/>
        <w:rPr>
          <w:rFonts w:ascii="TimesLT" w:hAnsi="TimesLT" w:cs="TimesLT"/>
          <w:b/>
          <w:bCs/>
          <w:color w:val="000000"/>
          <w:sz w:val="24"/>
          <w:szCs w:val="24"/>
          <w:lang w:val="en-GB"/>
        </w:rPr>
      </w:pPr>
      <w:r w:rsidRPr="005D4D4E">
        <w:rPr>
          <w:rFonts w:ascii="TimesLT" w:hAnsi="TimesLT" w:cs="TimesLT"/>
          <w:b/>
          <w:bCs/>
          <w:sz w:val="24"/>
          <w:szCs w:val="24"/>
          <w:lang w:val="en-GB"/>
        </w:rPr>
        <w:t>6.2. Internal quality assurance</w:t>
      </w: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6.2.1 Suitability of the program quality assessment</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The assessment of internal quality assurance is a new process and is encouraged by the Commission to be further developed on a regular basis. Of special interest is the investigation about the </w:t>
      </w:r>
      <w:r w:rsidRPr="005D4D4E">
        <w:rPr>
          <w:rFonts w:ascii="TimesLT" w:hAnsi="TimesLT" w:cs="TimesLT"/>
          <w:sz w:val="24"/>
          <w:szCs w:val="24"/>
          <w:lang w:val="en-GB"/>
        </w:rPr>
        <w:lastRenderedPageBreak/>
        <w:t>“Compliance of programs of music schools, music high schools and conservatories with the programs of the LAMT” (2008), which can be seen – together with the work of the permanent commissions – as a major development tool and as a basis for pilot projects. In general, all institutional bodies seem to be well informed about those various processes.</w:t>
      </w: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6.2.2 Efficiency of the program quality improvement</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examples of usefulness of assessment for quality improvement are convincing and well published (material improvements, agreements with various institutions, hiring of new teachers and artists, etc.), although the experts recommend that more means and more speed can be dedicated to this important issue (see recommendation III.6.1)</w:t>
      </w: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i/>
          <w:iCs/>
          <w:sz w:val="24"/>
          <w:szCs w:val="24"/>
          <w:lang w:val="en-GB"/>
        </w:rPr>
      </w:pPr>
      <w:r w:rsidRPr="005D4D4E">
        <w:rPr>
          <w:rFonts w:ascii="TimesLT" w:hAnsi="TimesLT" w:cs="TimesLT"/>
          <w:i/>
          <w:iCs/>
          <w:sz w:val="24"/>
          <w:szCs w:val="24"/>
          <w:lang w:val="en-GB"/>
        </w:rPr>
        <w:t>6.2.3 Efficiency of stakeholders’ participation</w:t>
      </w:r>
    </w:p>
    <w:p w:rsidR="005D4D4E" w:rsidRPr="005D4D4E" w:rsidRDefault="005D4D4E" w:rsidP="005D4D4E">
      <w:pPr>
        <w:autoSpaceDE w:val="0"/>
        <w:autoSpaceDN w:val="0"/>
        <w:adjustRightInd w:val="0"/>
        <w:spacing w:after="0" w:line="240" w:lineRule="auto"/>
        <w:jc w:val="both"/>
        <w:rPr>
          <w:rFonts w:ascii="TimesLT" w:hAnsi="TimesLT" w:cs="TimesLT"/>
          <w:b/>
          <w:bCs/>
          <w:sz w:val="24"/>
          <w:szCs w:val="24"/>
          <w:lang w:val="en-GB"/>
        </w:rPr>
      </w:pPr>
      <w:r w:rsidRPr="005D4D4E">
        <w:rPr>
          <w:rFonts w:ascii="TimesLT" w:hAnsi="TimesLT" w:cs="TimesLT"/>
          <w:color w:val="000000"/>
          <w:sz w:val="24"/>
          <w:szCs w:val="24"/>
          <w:lang w:val="en-GB"/>
        </w:rPr>
        <w:t>The SA indicates some progress in involving the primary stakeholders, the students, in the process of improving their program, and the Commission enjoyed the vivid discussions with them during the visit. To the experts, the process at this point appears mainly reactive to problems and difficulties. A more proactive approach will be important for future improvements and quality assurance. One way to accomplish this is to formulate a plan that includes strategies for the future with input from all stakeholders: students, faculties, administrators, graduates and the members of the profession who are the primary consumers of the institution’s most important product: its well-trained and educated musicians and music pedagogues (see recommendation III.6.2).</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highlight w:val="yellow"/>
          <w:lang w:val="en-GB"/>
        </w:rPr>
      </w:pPr>
    </w:p>
    <w:p w:rsidR="005D4D4E" w:rsidRPr="005D4D4E" w:rsidRDefault="005D4D4E" w:rsidP="005D4D4E">
      <w:pPr>
        <w:tabs>
          <w:tab w:val="right" w:leader="dot" w:pos="9072"/>
        </w:tabs>
        <w:autoSpaceDE w:val="0"/>
        <w:autoSpaceDN w:val="0"/>
        <w:adjustRightInd w:val="0"/>
        <w:spacing w:after="0" w:line="240" w:lineRule="auto"/>
        <w:jc w:val="both"/>
        <w:rPr>
          <w:rFonts w:ascii="TimesLT" w:hAnsi="TimesLT" w:cs="TimesLT"/>
          <w:b/>
          <w:bCs/>
          <w:i/>
          <w:iCs/>
          <w:sz w:val="24"/>
          <w:szCs w:val="24"/>
          <w:lang w:val="en-GB"/>
        </w:rPr>
      </w:pPr>
      <w:r w:rsidRPr="005D4D4E">
        <w:rPr>
          <w:rFonts w:ascii="TimesLT" w:hAnsi="TimesLT" w:cs="TimesLT"/>
          <w:b/>
          <w:bCs/>
          <w:i/>
          <w:iCs/>
          <w:sz w:val="24"/>
          <w:szCs w:val="24"/>
          <w:lang w:val="en-GB"/>
        </w:rPr>
        <w:t>7.  Influence on cultural life</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general influence of the program can be observed beyond the employability of graduates since these professionals are also active in the social and cultural life of Lithuania in general and in the Kaunas region in particular. This model deserves much commend and could even be broaden up so the Kaunas Faculty takes a leadership in creating the culture of tomorrow.</w:t>
      </w:r>
    </w:p>
    <w:p w:rsidR="005D4D4E" w:rsidRPr="005D4D4E" w:rsidRDefault="005D4D4E" w:rsidP="005D4D4E">
      <w:pPr>
        <w:tabs>
          <w:tab w:val="right" w:leader="dot" w:pos="9072"/>
        </w:tabs>
        <w:autoSpaceDE w:val="0"/>
        <w:autoSpaceDN w:val="0"/>
        <w:adjustRightInd w:val="0"/>
        <w:spacing w:after="0" w:line="240" w:lineRule="auto"/>
        <w:jc w:val="both"/>
        <w:rPr>
          <w:rFonts w:ascii="TimesLT" w:hAnsi="TimesLT" w:cs="TimesLT"/>
          <w:b/>
          <w:bCs/>
          <w:i/>
          <w:iCs/>
          <w:color w:val="FF0000"/>
          <w:sz w:val="24"/>
          <w:szCs w:val="24"/>
          <w:highlight w:val="yellow"/>
          <w:lang w:val="en-GB"/>
        </w:rPr>
      </w:pPr>
    </w:p>
    <w:p w:rsidR="005D4D4E" w:rsidRPr="005D4D4E" w:rsidRDefault="005D4D4E" w:rsidP="005D4D4E">
      <w:pPr>
        <w:autoSpaceDE w:val="0"/>
        <w:autoSpaceDN w:val="0"/>
        <w:adjustRightInd w:val="0"/>
        <w:spacing w:after="0" w:line="240" w:lineRule="auto"/>
        <w:jc w:val="both"/>
        <w:rPr>
          <w:rFonts w:ascii="TimesLT" w:hAnsi="TimesLT" w:cs="TimesLT"/>
          <w:b/>
          <w:bCs/>
          <w:i/>
          <w:iCs/>
          <w:sz w:val="24"/>
          <w:szCs w:val="24"/>
          <w:lang w:val="en-GB"/>
        </w:rPr>
      </w:pPr>
      <w:r w:rsidRPr="005D4D4E">
        <w:rPr>
          <w:rFonts w:ascii="TimesLT" w:hAnsi="TimesLT" w:cs="TimesLT"/>
          <w:b/>
          <w:bCs/>
          <w:i/>
          <w:iCs/>
          <w:sz w:val="24"/>
          <w:szCs w:val="24"/>
          <w:lang w:val="en-GB"/>
        </w:rPr>
        <w:t>8.   Interaction with the profession</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In the SA, there is ample documentation of long-standing interaction with performing and educational institutions in Lithuania. The visiting experts suggest that Erasmus and other mobility efforts might be included here to show the spirit of international interaction with the profession that already exists.</w:t>
      </w:r>
    </w:p>
    <w:p w:rsidR="005D4D4E" w:rsidRPr="005D4D4E" w:rsidRDefault="005D4D4E" w:rsidP="005D4D4E">
      <w:pPr>
        <w:tabs>
          <w:tab w:val="left" w:pos="360"/>
        </w:tabs>
        <w:autoSpaceDE w:val="0"/>
        <w:autoSpaceDN w:val="0"/>
        <w:adjustRightInd w:val="0"/>
        <w:spacing w:after="0" w:line="240" w:lineRule="auto"/>
        <w:ind w:firstLine="360"/>
        <w:jc w:val="both"/>
        <w:rPr>
          <w:rFonts w:ascii="TimesLT" w:hAnsi="TimesLT" w:cs="TimesLT"/>
          <w:color w:val="FF0000"/>
          <w:sz w:val="24"/>
          <w:szCs w:val="24"/>
          <w:highlight w:val="yellow"/>
          <w:lang w:val="en-GB"/>
        </w:rPr>
      </w:pPr>
      <w:r w:rsidRPr="005D4D4E">
        <w:rPr>
          <w:rFonts w:ascii="TimesLT" w:hAnsi="TimesLT" w:cs="TimesLT"/>
          <w:sz w:val="24"/>
          <w:szCs w:val="24"/>
          <w:lang w:val="en-GB"/>
        </w:rPr>
        <w:tab/>
      </w:r>
      <w:r w:rsidRPr="005D4D4E">
        <w:rPr>
          <w:rFonts w:ascii="TimesLT" w:hAnsi="TimesLT" w:cs="TimesLT"/>
          <w:sz w:val="24"/>
          <w:szCs w:val="24"/>
          <w:highlight w:val="yellow"/>
          <w:lang w:val="en-GB"/>
        </w:rPr>
        <w:t xml:space="preserve"> </w:t>
      </w:r>
      <w:r w:rsidRPr="005D4D4E">
        <w:rPr>
          <w:rFonts w:ascii="TimesLT" w:hAnsi="TimesLT" w:cs="TimesLT"/>
          <w:color w:val="000000"/>
          <w:sz w:val="24"/>
          <w:szCs w:val="24"/>
          <w:highlight w:val="yellow"/>
          <w:lang w:val="en-GB"/>
        </w:rPr>
        <w:t xml:space="preserve">   </w:t>
      </w:r>
    </w:p>
    <w:p w:rsidR="005D4D4E" w:rsidRPr="005D4D4E" w:rsidRDefault="005D4D4E" w:rsidP="005D4D4E">
      <w:pPr>
        <w:autoSpaceDE w:val="0"/>
        <w:autoSpaceDN w:val="0"/>
        <w:adjustRightInd w:val="0"/>
        <w:spacing w:after="0" w:line="240" w:lineRule="auto"/>
        <w:ind w:firstLine="360"/>
        <w:jc w:val="both"/>
        <w:rPr>
          <w:rFonts w:ascii="TimesLT" w:hAnsi="TimesLT" w:cs="TimesLT"/>
          <w:i/>
          <w:iCs/>
          <w:sz w:val="24"/>
          <w:szCs w:val="24"/>
          <w:highlight w:val="yellow"/>
          <w:lang w:val="en-GB"/>
        </w:rPr>
      </w:pP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highlight w:val="green"/>
          <w:lang w:val="en-GB"/>
        </w:rPr>
      </w:pPr>
      <w:r w:rsidRPr="005D4D4E">
        <w:rPr>
          <w:rFonts w:ascii="TimesLT" w:hAnsi="TimesLT" w:cs="TimesLT"/>
          <w:b/>
          <w:bCs/>
          <w:sz w:val="24"/>
          <w:szCs w:val="24"/>
          <w:lang w:val="en-GB"/>
        </w:rPr>
        <w:t xml:space="preserve">III. RECOMMENDATIONS </w:t>
      </w:r>
    </w:p>
    <w:p w:rsidR="005D4D4E" w:rsidRPr="005D4D4E" w:rsidRDefault="005D4D4E" w:rsidP="005D4D4E">
      <w:pPr>
        <w:autoSpaceDE w:val="0"/>
        <w:autoSpaceDN w:val="0"/>
        <w:adjustRightInd w:val="0"/>
        <w:spacing w:after="0" w:line="240" w:lineRule="auto"/>
        <w:ind w:left="360" w:firstLine="360"/>
        <w:jc w:val="both"/>
        <w:rPr>
          <w:rFonts w:ascii="TimesLT" w:hAnsi="TimesLT" w:cs="TimesLT"/>
          <w:color w:val="000000"/>
          <w:sz w:val="24"/>
          <w:szCs w:val="24"/>
          <w:highlight w:val="green"/>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3.1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experts recommend reshuffling the articulation between the GMD bachelor program and the pedagogical Master program in the direction of broader learning outcomes for the latter, possibly with other artistic disciplines and in relation with local universities. (II, 1.1.3 and 1.2.2)</w:t>
      </w:r>
    </w:p>
    <w:p w:rsidR="005D4D4E" w:rsidRPr="005D4D4E" w:rsidRDefault="005D4D4E" w:rsidP="005D4D4E">
      <w:pPr>
        <w:autoSpaceDE w:val="0"/>
        <w:autoSpaceDN w:val="0"/>
        <w:adjustRightInd w:val="0"/>
        <w:spacing w:after="0" w:line="240" w:lineRule="auto"/>
        <w:jc w:val="both"/>
        <w:rPr>
          <w:rFonts w:ascii="TimesLT" w:hAnsi="TimesLT" w:cs="TimesLT"/>
          <w:sz w:val="24"/>
          <w:szCs w:val="24"/>
          <w:highlight w:val="green"/>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3.2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experts recommend the program to be more precise about the artistic learning outcomes in relation with the GMD bachelor program, and to broaden up the repertoires into the direction of ancient and contemporary music. They also think that more optional subjects would pay a better tribute to the general objectives of a second cycle program. (II, 2.1.1 and 2.1.2)</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 xml:space="preserve">3.3 </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lastRenderedPageBreak/>
        <w:t>The experts strongly recommend taking quick steps in order to meet the legal requirements regarding the scientific qualifications of the teachers, either by appointing new staff when possible or by taking advantage of professional development programs. They also encourage a policy of invited and guest teachers. (II, 3.1.1 and 3.2.2)</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3.4.1</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experts recommend a longer-term plan for renovation of the interior of the building of LMTA Kaunas Faculty. With understanding for the financial implications, 10% renovation in 2011 seems rather modest and should be looked upon as a first step to be followed by more intense renovations (II, 4.1.1).</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3.4.2</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With understanding for the fact that the library of LMTA KF is part of a subordinate structural division of LMTA the experts recommend LMTA and LMTA KF to do an extra effort to give preference </w:t>
      </w:r>
      <w:r w:rsidRPr="005D4D4E">
        <w:rPr>
          <w:rFonts w:ascii="TimesLT" w:hAnsi="TimesLT" w:cs="TimesLT"/>
          <w:sz w:val="24"/>
          <w:szCs w:val="24"/>
          <w:lang w:val="en-GB"/>
        </w:rPr>
        <w:t>to expand the number of computer workstations and auditoriums with audio and computer equipment. Since the Kaunas Faculty cannot have the same stock of materials it is more important for users of the library to have access to digital available materials. Also the disposal of audio and computer equipment has to be a point of attention. (II, 4.1.1 and 4.1.2)</w:t>
      </w: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3.4.3</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The experts recommend a systematic plan for solving the lack of materials (score and parts) especially in the area of printed early and contemporary music</w:t>
      </w:r>
      <w:r w:rsidRPr="005D4D4E">
        <w:rPr>
          <w:rFonts w:ascii="TimesLT" w:hAnsi="TimesLT" w:cs="TimesLT"/>
          <w:b/>
          <w:bCs/>
          <w:color w:val="000000"/>
          <w:sz w:val="24"/>
          <w:szCs w:val="24"/>
          <w:lang w:val="en-GB"/>
        </w:rPr>
        <w:t xml:space="preserve">. </w:t>
      </w:r>
      <w:r w:rsidRPr="005D4D4E">
        <w:rPr>
          <w:rFonts w:ascii="TimesLT" w:hAnsi="TimesLT" w:cs="TimesLT"/>
          <w:color w:val="000000"/>
          <w:sz w:val="24"/>
          <w:szCs w:val="24"/>
          <w:lang w:val="en-GB"/>
        </w:rPr>
        <w:t>(II, 4.2.1)</w:t>
      </w: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3.5.1</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While aware of the difficult situation caused by the new admission regulations, the experts recommend handling proactively with those by identifying the potential students early and help them to fit to them, also by tightening up the links between the LMTA KF and the precollege institutions. (II, 5.1.1, 5.1.2)</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3.5.2</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experts recommend the mobility of teachers and students to be encouraged by taking fuller opportunity of all the available programs. (II, 5.2.3)</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3.5.3</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The experts recommend taking further steps for a careful processing and recognition of the non-formal and self-education studies. (II, 5.4.4)</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3.6.1</w:t>
      </w:r>
    </w:p>
    <w:p w:rsidR="005D4D4E" w:rsidRPr="005D4D4E" w:rsidRDefault="005D4D4E" w:rsidP="005D4D4E">
      <w:pPr>
        <w:autoSpaceDE w:val="0"/>
        <w:autoSpaceDN w:val="0"/>
        <w:adjustRightInd w:val="0"/>
        <w:spacing w:after="0" w:line="240" w:lineRule="auto"/>
        <w:jc w:val="both"/>
        <w:rPr>
          <w:rFonts w:ascii="TimesLT" w:hAnsi="TimesLT" w:cs="TimesLT"/>
          <w:sz w:val="24"/>
          <w:szCs w:val="24"/>
          <w:highlight w:val="green"/>
          <w:lang w:val="en-GB"/>
        </w:rPr>
      </w:pPr>
      <w:r w:rsidRPr="005D4D4E">
        <w:rPr>
          <w:rFonts w:ascii="TimesLT" w:hAnsi="TimesLT" w:cs="TimesLT"/>
          <w:sz w:val="24"/>
          <w:szCs w:val="24"/>
          <w:lang w:val="en-GB"/>
        </w:rPr>
        <w:t>The experts recommend the continuation, further development, formalisation and implementation of the internal quality assurance process begun in 2010.  (II, 6.2.2)</w:t>
      </w: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240" w:lineRule="auto"/>
        <w:jc w:val="both"/>
        <w:rPr>
          <w:rFonts w:ascii="TimesLT" w:hAnsi="TimesLT" w:cs="TimesLT"/>
          <w:sz w:val="24"/>
          <w:szCs w:val="24"/>
          <w:lang w:val="en-GB"/>
        </w:rPr>
      </w:pPr>
      <w:r w:rsidRPr="005D4D4E">
        <w:rPr>
          <w:rFonts w:ascii="TimesLT" w:hAnsi="TimesLT" w:cs="TimesLT"/>
          <w:sz w:val="24"/>
          <w:szCs w:val="24"/>
          <w:lang w:val="en-GB"/>
        </w:rPr>
        <w:t>3.6.2</w:t>
      </w:r>
    </w:p>
    <w:p w:rsidR="005D4D4E" w:rsidRPr="005D4D4E" w:rsidRDefault="005D4D4E" w:rsidP="005D4D4E">
      <w:pPr>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color w:val="000000"/>
          <w:sz w:val="24"/>
          <w:szCs w:val="24"/>
          <w:lang w:val="en-GB"/>
        </w:rPr>
        <w:t xml:space="preserve">The experts recommend the development of a new comprehensive strategic plan with a scope of at least 5 years </w:t>
      </w:r>
      <w:r w:rsidRPr="005D4D4E">
        <w:rPr>
          <w:rFonts w:ascii="TimesLT" w:hAnsi="TimesLT" w:cs="TimesLT"/>
          <w:sz w:val="24"/>
          <w:szCs w:val="24"/>
          <w:lang w:val="en-GB"/>
        </w:rPr>
        <w:t xml:space="preserve">to address the issue of declining national funding for the arts since the state remains the principal employer of music pedagogues (and graduates of </w:t>
      </w:r>
      <w:r w:rsidRPr="005D4D4E">
        <w:rPr>
          <w:rFonts w:ascii="TimesLT" w:hAnsi="TimesLT" w:cs="TimesLT"/>
          <w:color w:val="000000"/>
          <w:sz w:val="24"/>
          <w:szCs w:val="24"/>
          <w:lang w:val="en-GB"/>
        </w:rPr>
        <w:t>LMTA) in</w:t>
      </w:r>
      <w:r w:rsidRPr="005D4D4E">
        <w:rPr>
          <w:rFonts w:ascii="TimesLT" w:hAnsi="TimesLT" w:cs="TimesLT"/>
          <w:sz w:val="24"/>
          <w:szCs w:val="24"/>
          <w:lang w:val="en-GB"/>
        </w:rPr>
        <w:t xml:space="preserve"> Lithuania.  This plan would also deal with admissions and enrolment projections that will result from mandated national standards, and other issues such as overcoming restrictions to art programs which occur within the framework of general national regulations. This long-range strategic plan would also address the need to build stronger ties with the external stakeholders; especially those bound by traditions that no longer appear relevant to the current needs of LMTA graduates and the music profession in the </w:t>
      </w:r>
      <w:r w:rsidRPr="005D4D4E">
        <w:rPr>
          <w:rFonts w:ascii="TimesLT" w:hAnsi="TimesLT" w:cs="TimesLT"/>
          <w:sz w:val="24"/>
          <w:szCs w:val="24"/>
          <w:lang w:val="en-GB"/>
        </w:rPr>
        <w:lastRenderedPageBreak/>
        <w:t>21</w:t>
      </w:r>
      <w:r w:rsidRPr="005D4D4E">
        <w:rPr>
          <w:rFonts w:ascii="TimesLT" w:hAnsi="TimesLT" w:cs="TimesLT"/>
          <w:sz w:val="24"/>
          <w:szCs w:val="24"/>
          <w:vertAlign w:val="superscript"/>
          <w:lang w:val="en-GB"/>
        </w:rPr>
        <w:t>st</w:t>
      </w:r>
      <w:r w:rsidRPr="005D4D4E">
        <w:rPr>
          <w:rFonts w:ascii="TimesLT" w:hAnsi="TimesLT" w:cs="TimesLT"/>
          <w:sz w:val="24"/>
          <w:szCs w:val="24"/>
          <w:lang w:val="en-GB"/>
        </w:rPr>
        <w:t xml:space="preserve"> century. The experts feel that this presents a challenging opportunity for institutional growth. (II, 6.2.3)</w:t>
      </w:r>
    </w:p>
    <w:p w:rsidR="005D4D4E" w:rsidRPr="005D4D4E" w:rsidRDefault="005D4D4E" w:rsidP="005D4D4E">
      <w:pPr>
        <w:autoSpaceDE w:val="0"/>
        <w:autoSpaceDN w:val="0"/>
        <w:adjustRightInd w:val="0"/>
        <w:spacing w:after="0" w:line="240" w:lineRule="auto"/>
        <w:jc w:val="both"/>
        <w:rPr>
          <w:rFonts w:ascii="TimesLT" w:hAnsi="TimesLT" w:cs="TimesLT"/>
          <w:sz w:val="24"/>
          <w:szCs w:val="24"/>
          <w:highlight w:val="green"/>
          <w:lang w:val="en-GB"/>
        </w:rPr>
      </w:pP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autoSpaceDE w:val="0"/>
        <w:autoSpaceDN w:val="0"/>
        <w:adjustRightInd w:val="0"/>
        <w:spacing w:after="0" w:line="240" w:lineRule="auto"/>
        <w:ind w:left="360"/>
        <w:jc w:val="both"/>
        <w:rPr>
          <w:rFonts w:ascii="TimesLT" w:hAnsi="TimesLT" w:cs="TimesLT"/>
          <w:color w:val="000000"/>
          <w:sz w:val="24"/>
          <w:szCs w:val="24"/>
          <w:highlight w:val="yellow"/>
          <w:lang w:val="en-GB"/>
        </w:rPr>
      </w:pPr>
    </w:p>
    <w:p w:rsidR="005D4D4E" w:rsidRPr="005D4D4E" w:rsidRDefault="005D4D4E" w:rsidP="005D4D4E">
      <w:pPr>
        <w:keepNext/>
        <w:autoSpaceDE w:val="0"/>
        <w:autoSpaceDN w:val="0"/>
        <w:adjustRightInd w:val="0"/>
        <w:spacing w:after="0" w:line="240" w:lineRule="auto"/>
        <w:outlineLvl w:val="0"/>
        <w:rPr>
          <w:rFonts w:ascii="TimesLT" w:hAnsi="TimesLT" w:cs="TimesLT"/>
          <w:b/>
          <w:bCs/>
          <w:color w:val="000000"/>
          <w:sz w:val="24"/>
          <w:szCs w:val="24"/>
          <w:lang w:val="en-GB"/>
        </w:rPr>
      </w:pPr>
      <w:r w:rsidRPr="005D4D4E">
        <w:rPr>
          <w:rFonts w:ascii="TimesLT" w:hAnsi="TimesLT" w:cs="TimesLT"/>
          <w:b/>
          <w:bCs/>
          <w:sz w:val="24"/>
          <w:szCs w:val="24"/>
          <w:lang w:val="en-GB"/>
        </w:rPr>
        <w:t xml:space="preserve">IV. GENERAL ASSESSMENT </w:t>
      </w: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r w:rsidRPr="005D4D4E">
        <w:rPr>
          <w:rFonts w:ascii="TimesLT" w:hAnsi="TimesLT" w:cs="TimesLT"/>
          <w:sz w:val="24"/>
          <w:szCs w:val="24"/>
          <w:lang w:val="en-GB"/>
        </w:rPr>
        <w:t xml:space="preserve">The study program </w:t>
      </w:r>
      <w:r w:rsidRPr="005D4D4E">
        <w:rPr>
          <w:rFonts w:ascii="TimesLT" w:hAnsi="TimesLT" w:cs="TimesLT"/>
          <w:i/>
          <w:iCs/>
          <w:sz w:val="24"/>
          <w:szCs w:val="24"/>
          <w:lang w:val="en-GB"/>
        </w:rPr>
        <w:t>GENERAL MUSIC DIDACTICS</w:t>
      </w:r>
      <w:r w:rsidRPr="005D4D4E">
        <w:rPr>
          <w:rFonts w:ascii="TimesLT" w:hAnsi="TimesLT" w:cs="TimesLT"/>
          <w:i/>
          <w:iCs/>
          <w:color w:val="000000"/>
          <w:sz w:val="24"/>
          <w:szCs w:val="24"/>
          <w:lang w:val="en-GB"/>
        </w:rPr>
        <w:t xml:space="preserve"> </w:t>
      </w:r>
      <w:r w:rsidRPr="005D4D4E">
        <w:rPr>
          <w:rFonts w:ascii="TimesLT" w:hAnsi="TimesLT" w:cs="TimesLT"/>
          <w:color w:val="000000"/>
          <w:sz w:val="24"/>
          <w:szCs w:val="24"/>
          <w:lang w:val="en-GB"/>
        </w:rPr>
        <w:t xml:space="preserve">(state code –62401M109, 621X14001) is given </w:t>
      </w:r>
      <w:r w:rsidRPr="005D4D4E">
        <w:rPr>
          <w:rFonts w:ascii="TimesLT" w:hAnsi="TimesLT" w:cs="TimesLT"/>
          <w:b/>
          <w:bCs/>
          <w:color w:val="000000"/>
          <w:sz w:val="24"/>
          <w:szCs w:val="24"/>
          <w:lang w:val="en-GB"/>
        </w:rPr>
        <w:t>positive</w:t>
      </w:r>
      <w:r w:rsidRPr="005D4D4E">
        <w:rPr>
          <w:rFonts w:ascii="TimesLT" w:hAnsi="TimesLT" w:cs="TimesLT"/>
          <w:color w:val="000000"/>
          <w:sz w:val="24"/>
          <w:szCs w:val="24"/>
          <w:lang w:val="en-GB"/>
        </w:rPr>
        <w:t xml:space="preserve"> evaluation. </w:t>
      </w:r>
    </w:p>
    <w:p w:rsidR="005D4D4E" w:rsidRPr="005D4D4E" w:rsidRDefault="005D4D4E" w:rsidP="005D4D4E">
      <w:pPr>
        <w:keepNext/>
        <w:autoSpaceDE w:val="0"/>
        <w:autoSpaceDN w:val="0"/>
        <w:adjustRightInd w:val="0"/>
        <w:spacing w:after="0" w:line="240" w:lineRule="auto"/>
        <w:outlineLvl w:val="0"/>
        <w:rPr>
          <w:rFonts w:ascii="TimesLT" w:hAnsi="TimesLT" w:cs="TimesLT"/>
          <w:b/>
          <w:bCs/>
          <w:sz w:val="24"/>
          <w:szCs w:val="24"/>
          <w:lang w:val="en-GB"/>
        </w:rPr>
      </w:pP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roofErr w:type="gramStart"/>
      <w:r w:rsidRPr="005D4D4E">
        <w:rPr>
          <w:rFonts w:ascii="TimesLT" w:hAnsi="TimesLT" w:cs="TimesLT"/>
          <w:sz w:val="24"/>
          <w:szCs w:val="24"/>
          <w:lang w:val="en-GB"/>
        </w:rPr>
        <w:t>Table.</w:t>
      </w:r>
      <w:proofErr w:type="gramEnd"/>
      <w:r w:rsidRPr="005D4D4E">
        <w:rPr>
          <w:rFonts w:ascii="TimesLT" w:hAnsi="TimesLT" w:cs="TimesLT"/>
          <w:sz w:val="24"/>
          <w:szCs w:val="24"/>
          <w:lang w:val="en-GB"/>
        </w:rPr>
        <w:t xml:space="preserve"> </w:t>
      </w:r>
      <w:r w:rsidRPr="005D4D4E">
        <w:rPr>
          <w:rFonts w:ascii="TimesLT" w:hAnsi="TimesLT" w:cs="TimesLT"/>
          <w:i/>
          <w:iCs/>
          <w:sz w:val="24"/>
          <w:szCs w:val="24"/>
          <w:lang w:val="en-GB"/>
        </w:rPr>
        <w:t>Study program assessment in points by evaluation areas</w:t>
      </w:r>
      <w:r w:rsidRPr="005D4D4E">
        <w:rPr>
          <w:rFonts w:ascii="TimesLT" w:hAnsi="TimesLT" w:cs="TimesLT"/>
          <w:sz w:val="24"/>
          <w:szCs w:val="24"/>
          <w:lang w:val="en-GB"/>
        </w:rPr>
        <w:t>.</w:t>
      </w:r>
    </w:p>
    <w:tbl>
      <w:tblPr>
        <w:tblW w:w="0" w:type="auto"/>
        <w:tblLayout w:type="fixed"/>
        <w:tblCellMar>
          <w:left w:w="10" w:type="dxa"/>
          <w:right w:w="10" w:type="dxa"/>
        </w:tblCellMar>
        <w:tblLook w:val="0000" w:firstRow="0" w:lastRow="0" w:firstColumn="0" w:lastColumn="0" w:noHBand="0" w:noVBand="0"/>
      </w:tblPr>
      <w:tblGrid>
        <w:gridCol w:w="10"/>
        <w:gridCol w:w="560"/>
        <w:gridCol w:w="10"/>
        <w:gridCol w:w="7064"/>
        <w:gridCol w:w="10"/>
        <w:gridCol w:w="1524"/>
        <w:gridCol w:w="10"/>
      </w:tblGrid>
      <w:tr w:rsidR="005D4D4E" w:rsidRPr="005D4D4E">
        <w:tblPrEx>
          <w:tblCellMar>
            <w:top w:w="0" w:type="dxa"/>
            <w:bottom w:w="0" w:type="dxa"/>
          </w:tblCellMar>
        </w:tblPrEx>
        <w:trPr>
          <w:gridAfter w:val="1"/>
          <w:wAfter w:w="10" w:type="dxa"/>
          <w:trHeight w:val="60"/>
        </w:trPr>
        <w:tc>
          <w:tcPr>
            <w:tcW w:w="570" w:type="dxa"/>
            <w:gridSpan w:val="2"/>
            <w:tcBorders>
              <w:top w:val="single" w:sz="8" w:space="0" w:color="000000"/>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No.</w:t>
            </w:r>
          </w:p>
        </w:tc>
        <w:tc>
          <w:tcPr>
            <w:tcW w:w="7074" w:type="dxa"/>
            <w:gridSpan w:val="2"/>
            <w:tcBorders>
              <w:top w:val="single" w:sz="8" w:space="0" w:color="000000"/>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Evaluation area</w:t>
            </w:r>
          </w:p>
        </w:tc>
        <w:tc>
          <w:tcPr>
            <w:tcW w:w="1534" w:type="dxa"/>
            <w:gridSpan w:val="2"/>
            <w:tcBorders>
              <w:top w:val="single" w:sz="8" w:space="0" w:color="000000"/>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Assessment in points*   </w:t>
            </w:r>
          </w:p>
        </w:tc>
      </w:tr>
      <w:tr w:rsidR="005D4D4E" w:rsidRPr="005D4D4E">
        <w:tblPrEx>
          <w:tblCellMar>
            <w:top w:w="0" w:type="dxa"/>
            <w:bottom w:w="0" w:type="dxa"/>
          </w:tblCellMar>
        </w:tblPrEx>
        <w:trPr>
          <w:gridAfter w:val="1"/>
          <w:wAfter w:w="10" w:type="dxa"/>
          <w:trHeight w:val="60"/>
        </w:trPr>
        <w:tc>
          <w:tcPr>
            <w:tcW w:w="570" w:type="dxa"/>
            <w:gridSpan w:val="2"/>
            <w:tcBorders>
              <w:top w:val="nil"/>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1</w:t>
            </w:r>
          </w:p>
        </w:tc>
        <w:tc>
          <w:tcPr>
            <w:tcW w:w="707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color w:val="000000"/>
                <w:sz w:val="24"/>
                <w:szCs w:val="24"/>
                <w:lang w:val="en-GB"/>
              </w:rPr>
              <w:t xml:space="preserve">Program aims and  learning outcomes  </w:t>
            </w:r>
          </w:p>
        </w:tc>
        <w:tc>
          <w:tcPr>
            <w:tcW w:w="153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sz w:val="24"/>
                <w:szCs w:val="24"/>
                <w:lang w:val="en-US"/>
              </w:rPr>
              <w:t> 2</w:t>
            </w:r>
          </w:p>
        </w:tc>
      </w:tr>
      <w:tr w:rsidR="005D4D4E" w:rsidRPr="005D4D4E">
        <w:tblPrEx>
          <w:tblCellMar>
            <w:top w:w="0" w:type="dxa"/>
            <w:bottom w:w="0" w:type="dxa"/>
          </w:tblCellMar>
        </w:tblPrEx>
        <w:trPr>
          <w:gridBefore w:val="1"/>
          <w:wBefore w:w="10" w:type="dxa"/>
          <w:trHeight w:val="60"/>
        </w:trPr>
        <w:tc>
          <w:tcPr>
            <w:tcW w:w="570" w:type="dxa"/>
            <w:gridSpan w:val="2"/>
            <w:tcBorders>
              <w:top w:val="nil"/>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2</w:t>
            </w:r>
          </w:p>
        </w:tc>
        <w:tc>
          <w:tcPr>
            <w:tcW w:w="707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color w:val="000000"/>
                <w:sz w:val="24"/>
                <w:szCs w:val="24"/>
                <w:lang w:val="en-GB"/>
              </w:rPr>
              <w:t>Curriculum design</w:t>
            </w:r>
          </w:p>
        </w:tc>
        <w:tc>
          <w:tcPr>
            <w:tcW w:w="153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sz w:val="24"/>
                <w:szCs w:val="24"/>
                <w:lang w:val="en-US"/>
              </w:rPr>
              <w:t> 2</w:t>
            </w:r>
          </w:p>
        </w:tc>
      </w:tr>
      <w:tr w:rsidR="005D4D4E" w:rsidRPr="005D4D4E">
        <w:tblPrEx>
          <w:tblCellMar>
            <w:top w:w="0" w:type="dxa"/>
            <w:bottom w:w="0" w:type="dxa"/>
          </w:tblCellMar>
        </w:tblPrEx>
        <w:trPr>
          <w:gridBefore w:val="1"/>
          <w:wBefore w:w="10" w:type="dxa"/>
          <w:trHeight w:val="60"/>
        </w:trPr>
        <w:tc>
          <w:tcPr>
            <w:tcW w:w="570" w:type="dxa"/>
            <w:gridSpan w:val="2"/>
            <w:tcBorders>
              <w:top w:val="nil"/>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3</w:t>
            </w:r>
          </w:p>
        </w:tc>
        <w:tc>
          <w:tcPr>
            <w:tcW w:w="707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color w:val="000000"/>
                <w:sz w:val="24"/>
                <w:szCs w:val="24"/>
                <w:lang w:val="en-GB"/>
              </w:rPr>
              <w:t>Staff</w:t>
            </w:r>
          </w:p>
        </w:tc>
        <w:tc>
          <w:tcPr>
            <w:tcW w:w="153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sz w:val="24"/>
                <w:szCs w:val="24"/>
                <w:lang w:val="en-US"/>
              </w:rPr>
              <w:t> 2</w:t>
            </w:r>
          </w:p>
        </w:tc>
      </w:tr>
      <w:tr w:rsidR="005D4D4E" w:rsidRPr="005D4D4E">
        <w:tblPrEx>
          <w:tblCellMar>
            <w:top w:w="0" w:type="dxa"/>
            <w:bottom w:w="0" w:type="dxa"/>
          </w:tblCellMar>
        </w:tblPrEx>
        <w:trPr>
          <w:gridBefore w:val="1"/>
          <w:wBefore w:w="10" w:type="dxa"/>
          <w:trHeight w:val="60"/>
        </w:trPr>
        <w:tc>
          <w:tcPr>
            <w:tcW w:w="570" w:type="dxa"/>
            <w:gridSpan w:val="2"/>
            <w:tcBorders>
              <w:top w:val="nil"/>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4</w:t>
            </w:r>
          </w:p>
        </w:tc>
        <w:tc>
          <w:tcPr>
            <w:tcW w:w="707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color w:val="000000"/>
                <w:sz w:val="24"/>
                <w:szCs w:val="24"/>
                <w:lang w:val="en-GB"/>
              </w:rPr>
              <w:t>Facilities and learning resources</w:t>
            </w:r>
          </w:p>
        </w:tc>
        <w:tc>
          <w:tcPr>
            <w:tcW w:w="153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sz w:val="24"/>
                <w:szCs w:val="24"/>
                <w:lang w:val="en-US"/>
              </w:rPr>
              <w:t> 2</w:t>
            </w:r>
          </w:p>
        </w:tc>
      </w:tr>
      <w:tr w:rsidR="005D4D4E" w:rsidRPr="005D4D4E">
        <w:tblPrEx>
          <w:tblCellMar>
            <w:top w:w="0" w:type="dxa"/>
            <w:bottom w:w="0" w:type="dxa"/>
          </w:tblCellMar>
        </w:tblPrEx>
        <w:trPr>
          <w:gridBefore w:val="1"/>
          <w:wBefore w:w="10" w:type="dxa"/>
          <w:trHeight w:val="60"/>
        </w:trPr>
        <w:tc>
          <w:tcPr>
            <w:tcW w:w="570" w:type="dxa"/>
            <w:gridSpan w:val="2"/>
            <w:tcBorders>
              <w:top w:val="nil"/>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5</w:t>
            </w:r>
          </w:p>
        </w:tc>
        <w:tc>
          <w:tcPr>
            <w:tcW w:w="7074" w:type="dxa"/>
            <w:gridSpan w:val="2"/>
            <w:tcBorders>
              <w:top w:val="nil"/>
              <w:left w:val="nil"/>
              <w:bottom w:val="single" w:sz="8" w:space="0" w:color="000000"/>
              <w:right w:val="single" w:sz="8" w:space="0" w:color="000000"/>
            </w:tcBorders>
            <w:vAlign w:val="center"/>
          </w:tcPr>
          <w:p w:rsidR="005D4D4E" w:rsidRPr="005D4D4E" w:rsidRDefault="005D4D4E" w:rsidP="005D4D4E">
            <w:pPr>
              <w:tabs>
                <w:tab w:val="left" w:pos="0"/>
              </w:tabs>
              <w:autoSpaceDE w:val="0"/>
              <w:autoSpaceDN w:val="0"/>
              <w:adjustRightInd w:val="0"/>
              <w:spacing w:after="0" w:line="240" w:lineRule="auto"/>
              <w:jc w:val="both"/>
              <w:rPr>
                <w:rFonts w:ascii="TimesLT" w:hAnsi="TimesLT" w:cs="TimesLT"/>
                <w:color w:val="000000"/>
                <w:sz w:val="24"/>
                <w:szCs w:val="24"/>
                <w:lang w:val="en-GB"/>
              </w:rPr>
            </w:pPr>
            <w:r w:rsidRPr="005D4D4E">
              <w:rPr>
                <w:rFonts w:ascii="TimesLT" w:hAnsi="TimesLT" w:cs="TimesLT"/>
                <w:sz w:val="24"/>
                <w:szCs w:val="24"/>
                <w:lang w:val="en-US"/>
              </w:rPr>
              <w:tab/>
            </w:r>
            <w:r w:rsidRPr="005D4D4E">
              <w:rPr>
                <w:rFonts w:ascii="TimesLT" w:hAnsi="TimesLT" w:cs="TimesLT"/>
                <w:color w:val="000000"/>
                <w:sz w:val="24"/>
                <w:szCs w:val="24"/>
                <w:lang w:val="en-GB"/>
              </w:rPr>
              <w:t>Study process and student assessment</w:t>
            </w:r>
            <w:r w:rsidRPr="005D4D4E">
              <w:rPr>
                <w:rFonts w:ascii="TimesLT" w:hAnsi="TimesLT" w:cs="TimesLT"/>
                <w:sz w:val="24"/>
                <w:szCs w:val="24"/>
                <w:lang w:val="en-US"/>
              </w:rPr>
              <w:t xml:space="preserve"> (</w:t>
            </w:r>
            <w:r w:rsidRPr="005D4D4E">
              <w:rPr>
                <w:rFonts w:ascii="TimesLT" w:hAnsi="TimesLT" w:cs="TimesLT"/>
                <w:sz w:val="24"/>
                <w:szCs w:val="24"/>
                <w:lang w:val="en-GB"/>
              </w:rPr>
              <w:t>student admission</w:t>
            </w:r>
            <w:r w:rsidRPr="005D4D4E">
              <w:rPr>
                <w:rFonts w:ascii="TimesLT" w:hAnsi="TimesLT" w:cs="TimesLT"/>
                <w:color w:val="000000"/>
                <w:sz w:val="24"/>
                <w:szCs w:val="24"/>
                <w:lang w:val="en-GB"/>
              </w:rPr>
              <w:t>,</w:t>
            </w:r>
            <w:r w:rsidRPr="005D4D4E">
              <w:rPr>
                <w:rFonts w:ascii="TimesLT" w:hAnsi="TimesLT" w:cs="TimesLT"/>
                <w:sz w:val="24"/>
                <w:szCs w:val="24"/>
                <w:lang w:val="en-GB"/>
              </w:rPr>
              <w:t xml:space="preserve">  </w:t>
            </w:r>
            <w:r w:rsidRPr="005D4D4E">
              <w:rPr>
                <w:rFonts w:ascii="TimesLT" w:hAnsi="TimesLT" w:cs="TimesLT"/>
                <w:color w:val="000000"/>
                <w:sz w:val="24"/>
                <w:szCs w:val="24"/>
                <w:lang w:val="en-GB"/>
              </w:rPr>
              <w:t>s</w:t>
            </w:r>
            <w:r w:rsidRPr="005D4D4E">
              <w:rPr>
                <w:rFonts w:ascii="TimesLT" w:hAnsi="TimesLT" w:cs="TimesLT"/>
                <w:sz w:val="24"/>
                <w:szCs w:val="24"/>
                <w:lang w:val="en-GB"/>
              </w:rPr>
              <w:t xml:space="preserve">tudent support,  student </w:t>
            </w:r>
            <w:r w:rsidRPr="005D4D4E">
              <w:rPr>
                <w:rFonts w:ascii="TimesLT" w:hAnsi="TimesLT" w:cs="TimesLT"/>
                <w:color w:val="000000"/>
                <w:sz w:val="24"/>
                <w:szCs w:val="24"/>
                <w:lang w:val="en-GB"/>
              </w:rPr>
              <w:t>a</w:t>
            </w:r>
            <w:r w:rsidRPr="005D4D4E">
              <w:rPr>
                <w:rFonts w:ascii="TimesLT" w:hAnsi="TimesLT" w:cs="TimesLT"/>
                <w:sz w:val="24"/>
                <w:szCs w:val="24"/>
                <w:lang w:val="en-GB"/>
              </w:rPr>
              <w:t xml:space="preserve">chievement assessment) </w:t>
            </w:r>
          </w:p>
        </w:tc>
        <w:tc>
          <w:tcPr>
            <w:tcW w:w="153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sz w:val="24"/>
                <w:szCs w:val="24"/>
                <w:lang w:val="en-US"/>
              </w:rPr>
              <w:t> 4</w:t>
            </w:r>
          </w:p>
        </w:tc>
      </w:tr>
      <w:tr w:rsidR="005D4D4E" w:rsidRPr="005D4D4E">
        <w:tblPrEx>
          <w:tblCellMar>
            <w:top w:w="0" w:type="dxa"/>
            <w:bottom w:w="0" w:type="dxa"/>
          </w:tblCellMar>
        </w:tblPrEx>
        <w:trPr>
          <w:gridBefore w:val="1"/>
          <w:wBefore w:w="10" w:type="dxa"/>
          <w:trHeight w:val="60"/>
        </w:trPr>
        <w:tc>
          <w:tcPr>
            <w:tcW w:w="570" w:type="dxa"/>
            <w:gridSpan w:val="2"/>
            <w:tcBorders>
              <w:top w:val="nil"/>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center"/>
              <w:rPr>
                <w:rFonts w:ascii="TimesLT" w:hAnsi="TimesLT" w:cs="TimesLT"/>
                <w:sz w:val="24"/>
                <w:szCs w:val="24"/>
                <w:lang w:val="en-US"/>
              </w:rPr>
            </w:pPr>
            <w:r w:rsidRPr="005D4D4E">
              <w:rPr>
                <w:rFonts w:ascii="TimesLT" w:hAnsi="TimesLT" w:cs="TimesLT"/>
                <w:sz w:val="24"/>
                <w:szCs w:val="24"/>
                <w:lang w:val="en-US"/>
              </w:rPr>
              <w:t>6</w:t>
            </w:r>
          </w:p>
        </w:tc>
        <w:tc>
          <w:tcPr>
            <w:tcW w:w="707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color w:val="000000"/>
                <w:sz w:val="24"/>
                <w:szCs w:val="24"/>
                <w:lang w:val="en-GB"/>
              </w:rPr>
              <w:t>Program management</w:t>
            </w:r>
            <w:r w:rsidRPr="005D4D4E">
              <w:rPr>
                <w:rFonts w:ascii="TimesLT" w:hAnsi="TimesLT" w:cs="TimesLT"/>
                <w:sz w:val="24"/>
                <w:szCs w:val="24"/>
                <w:lang w:val="en-US"/>
              </w:rPr>
              <w:t xml:space="preserve"> (</w:t>
            </w:r>
            <w:r w:rsidRPr="005D4D4E">
              <w:rPr>
                <w:rFonts w:ascii="TimesLT" w:hAnsi="TimesLT" w:cs="TimesLT"/>
                <w:sz w:val="24"/>
                <w:szCs w:val="24"/>
                <w:lang w:val="en-GB"/>
              </w:rPr>
              <w:t>program administration</w:t>
            </w:r>
            <w:r w:rsidRPr="005D4D4E">
              <w:rPr>
                <w:rFonts w:ascii="TimesLT" w:hAnsi="TimesLT" w:cs="TimesLT"/>
                <w:sz w:val="24"/>
                <w:szCs w:val="24"/>
                <w:lang w:val="en-US"/>
              </w:rPr>
              <w:t xml:space="preserve">, </w:t>
            </w:r>
            <w:r w:rsidRPr="005D4D4E">
              <w:rPr>
                <w:rFonts w:ascii="TimesLT" w:hAnsi="TimesLT" w:cs="TimesLT"/>
                <w:sz w:val="24"/>
                <w:szCs w:val="24"/>
                <w:lang w:val="en-GB"/>
              </w:rPr>
              <w:t>internal quality assurance</w:t>
            </w:r>
            <w:r w:rsidRPr="005D4D4E">
              <w:rPr>
                <w:rFonts w:ascii="TimesLT" w:hAnsi="TimesLT" w:cs="TimesLT"/>
                <w:sz w:val="24"/>
                <w:szCs w:val="24"/>
                <w:lang w:val="en-US"/>
              </w:rPr>
              <w:t>)</w:t>
            </w:r>
          </w:p>
        </w:tc>
        <w:tc>
          <w:tcPr>
            <w:tcW w:w="153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sz w:val="24"/>
                <w:szCs w:val="24"/>
                <w:lang w:val="en-US"/>
              </w:rPr>
              <w:t> 3</w:t>
            </w:r>
          </w:p>
        </w:tc>
      </w:tr>
      <w:tr w:rsidR="005D4D4E" w:rsidRPr="005D4D4E">
        <w:tblPrEx>
          <w:tblCellMar>
            <w:top w:w="0" w:type="dxa"/>
            <w:bottom w:w="0" w:type="dxa"/>
          </w:tblCellMar>
        </w:tblPrEx>
        <w:trPr>
          <w:gridBefore w:val="1"/>
          <w:wBefore w:w="10" w:type="dxa"/>
          <w:trHeight w:val="60"/>
        </w:trPr>
        <w:tc>
          <w:tcPr>
            <w:tcW w:w="570" w:type="dxa"/>
            <w:gridSpan w:val="2"/>
            <w:tcBorders>
              <w:top w:val="nil"/>
              <w:left w:val="single" w:sz="8" w:space="0" w:color="000000"/>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rPr>
                <w:rFonts w:ascii="TimesLT" w:hAnsi="TimesLT" w:cs="TimesLT"/>
                <w:sz w:val="24"/>
                <w:szCs w:val="24"/>
                <w:lang w:val="en-US"/>
              </w:rPr>
            </w:pPr>
            <w:r w:rsidRPr="005D4D4E">
              <w:rPr>
                <w:rFonts w:ascii="TimesLT" w:hAnsi="TimesLT" w:cs="TimesLT"/>
                <w:sz w:val="24"/>
                <w:szCs w:val="24"/>
                <w:lang w:val="en-US"/>
              </w:rPr>
              <w:t> </w:t>
            </w:r>
          </w:p>
        </w:tc>
        <w:tc>
          <w:tcPr>
            <w:tcW w:w="707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right"/>
              <w:rPr>
                <w:rFonts w:ascii="TimesLT" w:hAnsi="TimesLT" w:cs="TimesLT"/>
                <w:sz w:val="24"/>
                <w:szCs w:val="24"/>
                <w:lang w:val="en-US"/>
              </w:rPr>
            </w:pPr>
            <w:r w:rsidRPr="005D4D4E">
              <w:rPr>
                <w:rFonts w:ascii="TimesLT" w:hAnsi="TimesLT" w:cs="TimesLT"/>
                <w:b/>
                <w:bCs/>
                <w:sz w:val="24"/>
                <w:szCs w:val="24"/>
                <w:lang w:val="en-US"/>
              </w:rPr>
              <w:t>Total:</w:t>
            </w:r>
            <w:r w:rsidRPr="005D4D4E">
              <w:rPr>
                <w:rFonts w:ascii="TimesLT" w:hAnsi="TimesLT" w:cs="TimesLT"/>
                <w:sz w:val="24"/>
                <w:szCs w:val="24"/>
                <w:lang w:val="en-US"/>
              </w:rPr>
              <w:t> </w:t>
            </w:r>
          </w:p>
        </w:tc>
        <w:tc>
          <w:tcPr>
            <w:tcW w:w="1534" w:type="dxa"/>
            <w:gridSpan w:val="2"/>
            <w:tcBorders>
              <w:top w:val="nil"/>
              <w:left w:val="nil"/>
              <w:bottom w:val="single" w:sz="8" w:space="0" w:color="000000"/>
              <w:right w:val="single" w:sz="8" w:space="0" w:color="000000"/>
            </w:tcBorders>
            <w:vAlign w:val="center"/>
          </w:tcPr>
          <w:p w:rsidR="005D4D4E" w:rsidRPr="005D4D4E" w:rsidRDefault="005D4D4E" w:rsidP="005D4D4E">
            <w:pPr>
              <w:autoSpaceDE w:val="0"/>
              <w:autoSpaceDN w:val="0"/>
              <w:adjustRightInd w:val="0"/>
              <w:spacing w:before="100" w:after="100" w:line="240" w:lineRule="auto"/>
              <w:jc w:val="both"/>
              <w:rPr>
                <w:rFonts w:ascii="TimesLT" w:hAnsi="TimesLT" w:cs="TimesLT"/>
                <w:sz w:val="24"/>
                <w:szCs w:val="24"/>
                <w:lang w:val="en-US"/>
              </w:rPr>
            </w:pPr>
            <w:r w:rsidRPr="005D4D4E">
              <w:rPr>
                <w:rFonts w:ascii="TimesLT" w:hAnsi="TimesLT" w:cs="TimesLT"/>
                <w:sz w:val="24"/>
                <w:szCs w:val="24"/>
                <w:lang w:val="en-US"/>
              </w:rPr>
              <w:t>15</w:t>
            </w:r>
          </w:p>
        </w:tc>
      </w:tr>
    </w:tbl>
    <w:p w:rsidR="005D4D4E" w:rsidRPr="005D4D4E" w:rsidRDefault="005D4D4E" w:rsidP="005D4D4E">
      <w:pPr>
        <w:autoSpaceDE w:val="0"/>
        <w:autoSpaceDN w:val="0"/>
        <w:adjustRightInd w:val="0"/>
        <w:spacing w:after="0" w:line="360" w:lineRule="auto"/>
        <w:jc w:val="both"/>
        <w:rPr>
          <w:rFonts w:ascii="TimesLT" w:hAnsi="TimesLT" w:cs="TimesLT"/>
          <w:sz w:val="20"/>
          <w:szCs w:val="20"/>
          <w:lang w:val="en-GB"/>
        </w:rPr>
      </w:pPr>
      <w:r w:rsidRPr="005D4D4E">
        <w:rPr>
          <w:rFonts w:ascii="TimesLT" w:hAnsi="TimesLT" w:cs="TimesLT"/>
          <w:sz w:val="20"/>
          <w:szCs w:val="20"/>
          <w:lang w:val="en-GB"/>
        </w:rPr>
        <w:t>*1 (unsatisfactory) - there are essential shortcomings that must be eliminated</w:t>
      </w:r>
    </w:p>
    <w:p w:rsidR="005D4D4E" w:rsidRPr="005D4D4E" w:rsidRDefault="005D4D4E" w:rsidP="005D4D4E">
      <w:pPr>
        <w:autoSpaceDE w:val="0"/>
        <w:autoSpaceDN w:val="0"/>
        <w:adjustRightInd w:val="0"/>
        <w:spacing w:after="0" w:line="360" w:lineRule="auto"/>
        <w:jc w:val="both"/>
        <w:rPr>
          <w:rFonts w:ascii="TimesLT" w:hAnsi="TimesLT" w:cs="TimesLT"/>
          <w:sz w:val="20"/>
          <w:szCs w:val="20"/>
          <w:lang w:val="en-GB"/>
        </w:rPr>
      </w:pPr>
      <w:proofErr w:type="gramStart"/>
      <w:r w:rsidRPr="005D4D4E">
        <w:rPr>
          <w:rFonts w:ascii="TimesLT" w:hAnsi="TimesLT" w:cs="TimesLT"/>
          <w:sz w:val="20"/>
          <w:szCs w:val="20"/>
          <w:lang w:val="en-GB"/>
        </w:rPr>
        <w:t>2  (</w:t>
      </w:r>
      <w:proofErr w:type="gramEnd"/>
      <w:r w:rsidRPr="005D4D4E">
        <w:rPr>
          <w:rFonts w:ascii="TimesLT" w:hAnsi="TimesLT" w:cs="TimesLT"/>
          <w:sz w:val="20"/>
          <w:szCs w:val="20"/>
          <w:lang w:val="en-GB"/>
        </w:rPr>
        <w:t>poor) - meets the established minimum requirements, needs improvement</w:t>
      </w:r>
    </w:p>
    <w:p w:rsidR="005D4D4E" w:rsidRPr="005D4D4E" w:rsidRDefault="005D4D4E" w:rsidP="005D4D4E">
      <w:pPr>
        <w:autoSpaceDE w:val="0"/>
        <w:autoSpaceDN w:val="0"/>
        <w:adjustRightInd w:val="0"/>
        <w:spacing w:after="0" w:line="360" w:lineRule="auto"/>
        <w:jc w:val="both"/>
        <w:rPr>
          <w:rFonts w:ascii="TimesLT" w:hAnsi="TimesLT" w:cs="TimesLT"/>
          <w:sz w:val="20"/>
          <w:szCs w:val="20"/>
          <w:lang w:val="en-GB"/>
        </w:rPr>
      </w:pPr>
      <w:proofErr w:type="gramStart"/>
      <w:r w:rsidRPr="005D4D4E">
        <w:rPr>
          <w:rFonts w:ascii="TimesLT" w:hAnsi="TimesLT" w:cs="TimesLT"/>
          <w:sz w:val="20"/>
          <w:szCs w:val="20"/>
          <w:lang w:val="en-GB"/>
        </w:rPr>
        <w:t>3  (</w:t>
      </w:r>
      <w:proofErr w:type="gramEnd"/>
      <w:r w:rsidRPr="005D4D4E">
        <w:rPr>
          <w:rFonts w:ascii="TimesLT" w:hAnsi="TimesLT" w:cs="TimesLT"/>
          <w:sz w:val="20"/>
          <w:szCs w:val="20"/>
          <w:lang w:val="en-GB"/>
        </w:rPr>
        <w:t xml:space="preserve">good) - the area develops systematically, has distinctive features </w:t>
      </w:r>
    </w:p>
    <w:p w:rsidR="005D4D4E" w:rsidRPr="005D4D4E" w:rsidRDefault="005D4D4E" w:rsidP="005D4D4E">
      <w:pPr>
        <w:autoSpaceDE w:val="0"/>
        <w:autoSpaceDN w:val="0"/>
        <w:adjustRightInd w:val="0"/>
        <w:spacing w:after="0" w:line="360" w:lineRule="auto"/>
        <w:jc w:val="both"/>
        <w:rPr>
          <w:rFonts w:ascii="TimesLT" w:hAnsi="TimesLT" w:cs="TimesLT"/>
          <w:sz w:val="20"/>
          <w:szCs w:val="20"/>
          <w:lang w:val="en-GB"/>
        </w:rPr>
      </w:pPr>
      <w:proofErr w:type="gramStart"/>
      <w:r w:rsidRPr="005D4D4E">
        <w:rPr>
          <w:rFonts w:ascii="TimesLT" w:hAnsi="TimesLT" w:cs="TimesLT"/>
          <w:sz w:val="20"/>
          <w:szCs w:val="20"/>
          <w:lang w:val="en-GB"/>
        </w:rPr>
        <w:t>4  (</w:t>
      </w:r>
      <w:proofErr w:type="gramEnd"/>
      <w:r w:rsidRPr="005D4D4E">
        <w:rPr>
          <w:rFonts w:ascii="TimesLT" w:hAnsi="TimesLT" w:cs="TimesLT"/>
          <w:sz w:val="20"/>
          <w:szCs w:val="20"/>
          <w:lang w:val="en-GB"/>
        </w:rPr>
        <w:t>very good) - the area is exceptionally good</w:t>
      </w: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p w:rsidR="005D4D4E" w:rsidRPr="005D4D4E" w:rsidRDefault="005D4D4E" w:rsidP="005D4D4E">
      <w:pPr>
        <w:autoSpaceDE w:val="0"/>
        <w:autoSpaceDN w:val="0"/>
        <w:adjustRightInd w:val="0"/>
        <w:spacing w:after="0" w:line="360" w:lineRule="auto"/>
        <w:jc w:val="both"/>
        <w:rPr>
          <w:rFonts w:ascii="TimesLT" w:hAnsi="TimesLT" w:cs="TimesLT"/>
          <w:sz w:val="24"/>
          <w:szCs w:val="24"/>
          <w:lang w:val="en-GB"/>
        </w:rPr>
      </w:pPr>
    </w:p>
    <w:p w:rsidR="00AA3151" w:rsidRDefault="00AA3151">
      <w:bookmarkStart w:id="0" w:name="_GoBack"/>
      <w:bookmarkEnd w:id="0"/>
    </w:p>
    <w:sectPr w:rsidR="00AA31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4E"/>
    <w:rsid w:val="0000068E"/>
    <w:rsid w:val="000057FB"/>
    <w:rsid w:val="00007817"/>
    <w:rsid w:val="00012068"/>
    <w:rsid w:val="00015F8C"/>
    <w:rsid w:val="00016400"/>
    <w:rsid w:val="00017108"/>
    <w:rsid w:val="00022308"/>
    <w:rsid w:val="000228B8"/>
    <w:rsid w:val="000255C7"/>
    <w:rsid w:val="00026820"/>
    <w:rsid w:val="00033098"/>
    <w:rsid w:val="00033C93"/>
    <w:rsid w:val="00035C1A"/>
    <w:rsid w:val="000412BE"/>
    <w:rsid w:val="000421A9"/>
    <w:rsid w:val="00042719"/>
    <w:rsid w:val="000430E9"/>
    <w:rsid w:val="00044A92"/>
    <w:rsid w:val="00046252"/>
    <w:rsid w:val="000512C2"/>
    <w:rsid w:val="000539C1"/>
    <w:rsid w:val="000557A4"/>
    <w:rsid w:val="00055B06"/>
    <w:rsid w:val="00056B5C"/>
    <w:rsid w:val="0005738B"/>
    <w:rsid w:val="00061A4A"/>
    <w:rsid w:val="00061AB2"/>
    <w:rsid w:val="00064B95"/>
    <w:rsid w:val="000659FD"/>
    <w:rsid w:val="000663AF"/>
    <w:rsid w:val="00066914"/>
    <w:rsid w:val="000709A1"/>
    <w:rsid w:val="00070CD4"/>
    <w:rsid w:val="00071D2B"/>
    <w:rsid w:val="000739B1"/>
    <w:rsid w:val="00075CC4"/>
    <w:rsid w:val="00081232"/>
    <w:rsid w:val="00083980"/>
    <w:rsid w:val="000861D0"/>
    <w:rsid w:val="00086882"/>
    <w:rsid w:val="00090530"/>
    <w:rsid w:val="00091976"/>
    <w:rsid w:val="00091F0E"/>
    <w:rsid w:val="00092A4A"/>
    <w:rsid w:val="00093CC6"/>
    <w:rsid w:val="00095616"/>
    <w:rsid w:val="000968DA"/>
    <w:rsid w:val="000972A4"/>
    <w:rsid w:val="000B15BC"/>
    <w:rsid w:val="000B1A8F"/>
    <w:rsid w:val="000C001D"/>
    <w:rsid w:val="000C3649"/>
    <w:rsid w:val="000C5E3E"/>
    <w:rsid w:val="000D193E"/>
    <w:rsid w:val="000D1991"/>
    <w:rsid w:val="000D400F"/>
    <w:rsid w:val="000E2419"/>
    <w:rsid w:val="000E4E80"/>
    <w:rsid w:val="000E57C4"/>
    <w:rsid w:val="000E7FF5"/>
    <w:rsid w:val="000F18F0"/>
    <w:rsid w:val="000F2E4A"/>
    <w:rsid w:val="000F3158"/>
    <w:rsid w:val="000F36D8"/>
    <w:rsid w:val="000F39EC"/>
    <w:rsid w:val="00101A50"/>
    <w:rsid w:val="00103EF3"/>
    <w:rsid w:val="00104F92"/>
    <w:rsid w:val="0010638E"/>
    <w:rsid w:val="00107A0B"/>
    <w:rsid w:val="00107A32"/>
    <w:rsid w:val="00111691"/>
    <w:rsid w:val="00112CE4"/>
    <w:rsid w:val="00112F13"/>
    <w:rsid w:val="00113C23"/>
    <w:rsid w:val="00114D57"/>
    <w:rsid w:val="00115BBC"/>
    <w:rsid w:val="001225F9"/>
    <w:rsid w:val="00123B1C"/>
    <w:rsid w:val="00132873"/>
    <w:rsid w:val="00132E20"/>
    <w:rsid w:val="001346F7"/>
    <w:rsid w:val="001375F5"/>
    <w:rsid w:val="0014013C"/>
    <w:rsid w:val="0014158E"/>
    <w:rsid w:val="00143F58"/>
    <w:rsid w:val="00145C91"/>
    <w:rsid w:val="001466CD"/>
    <w:rsid w:val="001508B8"/>
    <w:rsid w:val="00153E28"/>
    <w:rsid w:val="00160534"/>
    <w:rsid w:val="001608D9"/>
    <w:rsid w:val="00161D19"/>
    <w:rsid w:val="0016400A"/>
    <w:rsid w:val="00173D37"/>
    <w:rsid w:val="00173D4A"/>
    <w:rsid w:val="00176CFC"/>
    <w:rsid w:val="00180E44"/>
    <w:rsid w:val="00185070"/>
    <w:rsid w:val="00191B4D"/>
    <w:rsid w:val="00191F29"/>
    <w:rsid w:val="0019204E"/>
    <w:rsid w:val="001937F9"/>
    <w:rsid w:val="001951DC"/>
    <w:rsid w:val="00195206"/>
    <w:rsid w:val="001A05C8"/>
    <w:rsid w:val="001A0D41"/>
    <w:rsid w:val="001A0DB4"/>
    <w:rsid w:val="001A66E7"/>
    <w:rsid w:val="001B2DBA"/>
    <w:rsid w:val="001B644D"/>
    <w:rsid w:val="001C0DE8"/>
    <w:rsid w:val="001C255F"/>
    <w:rsid w:val="001D03FD"/>
    <w:rsid w:val="001D6167"/>
    <w:rsid w:val="001D6557"/>
    <w:rsid w:val="001D6A12"/>
    <w:rsid w:val="001D7A87"/>
    <w:rsid w:val="001E14B3"/>
    <w:rsid w:val="001E5905"/>
    <w:rsid w:val="001E6BF1"/>
    <w:rsid w:val="001E7739"/>
    <w:rsid w:val="001F0233"/>
    <w:rsid w:val="001F146B"/>
    <w:rsid w:val="001F44FD"/>
    <w:rsid w:val="001F48F9"/>
    <w:rsid w:val="001F4DB6"/>
    <w:rsid w:val="001F7DA4"/>
    <w:rsid w:val="002002C0"/>
    <w:rsid w:val="002002F1"/>
    <w:rsid w:val="00200DC6"/>
    <w:rsid w:val="00202908"/>
    <w:rsid w:val="0020461E"/>
    <w:rsid w:val="0020645C"/>
    <w:rsid w:val="00206E0A"/>
    <w:rsid w:val="0021113F"/>
    <w:rsid w:val="002134D3"/>
    <w:rsid w:val="00214388"/>
    <w:rsid w:val="002168BF"/>
    <w:rsid w:val="00217879"/>
    <w:rsid w:val="002219EA"/>
    <w:rsid w:val="00222871"/>
    <w:rsid w:val="00224035"/>
    <w:rsid w:val="00224F1B"/>
    <w:rsid w:val="00233127"/>
    <w:rsid w:val="00234BC6"/>
    <w:rsid w:val="00235587"/>
    <w:rsid w:val="00242909"/>
    <w:rsid w:val="002451A8"/>
    <w:rsid w:val="002459A4"/>
    <w:rsid w:val="002467A7"/>
    <w:rsid w:val="002515FB"/>
    <w:rsid w:val="002579BF"/>
    <w:rsid w:val="00260ADE"/>
    <w:rsid w:val="002631B9"/>
    <w:rsid w:val="0026433E"/>
    <w:rsid w:val="0026468C"/>
    <w:rsid w:val="00265B2F"/>
    <w:rsid w:val="002713F2"/>
    <w:rsid w:val="00272BF4"/>
    <w:rsid w:val="0027343B"/>
    <w:rsid w:val="00275239"/>
    <w:rsid w:val="00276C8F"/>
    <w:rsid w:val="00280164"/>
    <w:rsid w:val="002820CA"/>
    <w:rsid w:val="002823FA"/>
    <w:rsid w:val="0028551F"/>
    <w:rsid w:val="002922BC"/>
    <w:rsid w:val="00293F58"/>
    <w:rsid w:val="0029523E"/>
    <w:rsid w:val="002A1B2C"/>
    <w:rsid w:val="002A1C15"/>
    <w:rsid w:val="002B43C0"/>
    <w:rsid w:val="002B5CC1"/>
    <w:rsid w:val="002B6904"/>
    <w:rsid w:val="002C4CA2"/>
    <w:rsid w:val="002C512F"/>
    <w:rsid w:val="002C635E"/>
    <w:rsid w:val="002D16A5"/>
    <w:rsid w:val="002D327A"/>
    <w:rsid w:val="002D3868"/>
    <w:rsid w:val="002D4CED"/>
    <w:rsid w:val="002D583E"/>
    <w:rsid w:val="002E20FE"/>
    <w:rsid w:val="002E2DB7"/>
    <w:rsid w:val="002E4349"/>
    <w:rsid w:val="002F0504"/>
    <w:rsid w:val="002F22A2"/>
    <w:rsid w:val="002F39B3"/>
    <w:rsid w:val="002F46DC"/>
    <w:rsid w:val="002F68E5"/>
    <w:rsid w:val="0030140C"/>
    <w:rsid w:val="00304490"/>
    <w:rsid w:val="00311345"/>
    <w:rsid w:val="00312278"/>
    <w:rsid w:val="00320831"/>
    <w:rsid w:val="00321587"/>
    <w:rsid w:val="00324BCE"/>
    <w:rsid w:val="00325D7E"/>
    <w:rsid w:val="00336637"/>
    <w:rsid w:val="00342211"/>
    <w:rsid w:val="00344252"/>
    <w:rsid w:val="003462D1"/>
    <w:rsid w:val="003474CC"/>
    <w:rsid w:val="00352004"/>
    <w:rsid w:val="003528A2"/>
    <w:rsid w:val="00353D50"/>
    <w:rsid w:val="00353FC4"/>
    <w:rsid w:val="0035421E"/>
    <w:rsid w:val="0035593C"/>
    <w:rsid w:val="003560F2"/>
    <w:rsid w:val="00365F5E"/>
    <w:rsid w:val="00366D03"/>
    <w:rsid w:val="0038091E"/>
    <w:rsid w:val="00381454"/>
    <w:rsid w:val="003833B2"/>
    <w:rsid w:val="00384ECD"/>
    <w:rsid w:val="003854A2"/>
    <w:rsid w:val="00392363"/>
    <w:rsid w:val="00392545"/>
    <w:rsid w:val="00392684"/>
    <w:rsid w:val="00393DC7"/>
    <w:rsid w:val="003946F4"/>
    <w:rsid w:val="00395667"/>
    <w:rsid w:val="003A6AEF"/>
    <w:rsid w:val="003B27A1"/>
    <w:rsid w:val="003B66C5"/>
    <w:rsid w:val="003C394D"/>
    <w:rsid w:val="003C4BEB"/>
    <w:rsid w:val="003C7B47"/>
    <w:rsid w:val="003D364F"/>
    <w:rsid w:val="003D39D9"/>
    <w:rsid w:val="003D4DD1"/>
    <w:rsid w:val="003E2FAD"/>
    <w:rsid w:val="003E34B9"/>
    <w:rsid w:val="003E6BF9"/>
    <w:rsid w:val="003E6EA9"/>
    <w:rsid w:val="003F2BCA"/>
    <w:rsid w:val="003F3359"/>
    <w:rsid w:val="003F62C3"/>
    <w:rsid w:val="003F6361"/>
    <w:rsid w:val="003F6FE0"/>
    <w:rsid w:val="00400D42"/>
    <w:rsid w:val="00402303"/>
    <w:rsid w:val="004055DC"/>
    <w:rsid w:val="004057CE"/>
    <w:rsid w:val="004073A2"/>
    <w:rsid w:val="00407C33"/>
    <w:rsid w:val="004120D1"/>
    <w:rsid w:val="0041249B"/>
    <w:rsid w:val="00421960"/>
    <w:rsid w:val="0042336D"/>
    <w:rsid w:val="00425563"/>
    <w:rsid w:val="00427125"/>
    <w:rsid w:val="00427829"/>
    <w:rsid w:val="004319CC"/>
    <w:rsid w:val="00437A86"/>
    <w:rsid w:val="00437F89"/>
    <w:rsid w:val="00437FE6"/>
    <w:rsid w:val="0044168B"/>
    <w:rsid w:val="004437CB"/>
    <w:rsid w:val="00445322"/>
    <w:rsid w:val="004455BD"/>
    <w:rsid w:val="00451ED3"/>
    <w:rsid w:val="00452E41"/>
    <w:rsid w:val="004563AF"/>
    <w:rsid w:val="004618FF"/>
    <w:rsid w:val="00461B44"/>
    <w:rsid w:val="00466122"/>
    <w:rsid w:val="004662D5"/>
    <w:rsid w:val="00466CD4"/>
    <w:rsid w:val="00470CD0"/>
    <w:rsid w:val="00482020"/>
    <w:rsid w:val="00482EE0"/>
    <w:rsid w:val="0048300E"/>
    <w:rsid w:val="00483394"/>
    <w:rsid w:val="004863B6"/>
    <w:rsid w:val="00486AEC"/>
    <w:rsid w:val="004872B1"/>
    <w:rsid w:val="00496C30"/>
    <w:rsid w:val="004A11B0"/>
    <w:rsid w:val="004A206C"/>
    <w:rsid w:val="004A53AC"/>
    <w:rsid w:val="004A6BC4"/>
    <w:rsid w:val="004A7192"/>
    <w:rsid w:val="004B0C31"/>
    <w:rsid w:val="004B4CA5"/>
    <w:rsid w:val="004B53B9"/>
    <w:rsid w:val="004C2579"/>
    <w:rsid w:val="004C32C9"/>
    <w:rsid w:val="004C3F1E"/>
    <w:rsid w:val="004C4117"/>
    <w:rsid w:val="004C626C"/>
    <w:rsid w:val="004D1664"/>
    <w:rsid w:val="004D29C0"/>
    <w:rsid w:val="004D7A85"/>
    <w:rsid w:val="004E2729"/>
    <w:rsid w:val="004E43DD"/>
    <w:rsid w:val="004E59D7"/>
    <w:rsid w:val="004E6205"/>
    <w:rsid w:val="004E6CF1"/>
    <w:rsid w:val="004F08A7"/>
    <w:rsid w:val="004F3C2A"/>
    <w:rsid w:val="004F3DDD"/>
    <w:rsid w:val="004F41DF"/>
    <w:rsid w:val="004F57D4"/>
    <w:rsid w:val="004F5EF3"/>
    <w:rsid w:val="004F6991"/>
    <w:rsid w:val="0050128A"/>
    <w:rsid w:val="005040E3"/>
    <w:rsid w:val="005106F8"/>
    <w:rsid w:val="00513828"/>
    <w:rsid w:val="00513D4C"/>
    <w:rsid w:val="005159DC"/>
    <w:rsid w:val="005162ED"/>
    <w:rsid w:val="00516DC2"/>
    <w:rsid w:val="005174E2"/>
    <w:rsid w:val="00517B77"/>
    <w:rsid w:val="00526BCE"/>
    <w:rsid w:val="00533B32"/>
    <w:rsid w:val="00535425"/>
    <w:rsid w:val="00543A10"/>
    <w:rsid w:val="00545B6A"/>
    <w:rsid w:val="00546928"/>
    <w:rsid w:val="00556585"/>
    <w:rsid w:val="005576C4"/>
    <w:rsid w:val="00560F5F"/>
    <w:rsid w:val="00564CB0"/>
    <w:rsid w:val="00564CC8"/>
    <w:rsid w:val="00565906"/>
    <w:rsid w:val="00575583"/>
    <w:rsid w:val="0058083B"/>
    <w:rsid w:val="00581622"/>
    <w:rsid w:val="00581F24"/>
    <w:rsid w:val="00582BE0"/>
    <w:rsid w:val="00584D97"/>
    <w:rsid w:val="005910B0"/>
    <w:rsid w:val="00593094"/>
    <w:rsid w:val="005A061D"/>
    <w:rsid w:val="005A12C6"/>
    <w:rsid w:val="005A18D4"/>
    <w:rsid w:val="005A25FE"/>
    <w:rsid w:val="005A3FBA"/>
    <w:rsid w:val="005A4E5B"/>
    <w:rsid w:val="005A51E9"/>
    <w:rsid w:val="005A7C32"/>
    <w:rsid w:val="005B15DE"/>
    <w:rsid w:val="005B4024"/>
    <w:rsid w:val="005B6067"/>
    <w:rsid w:val="005C01A9"/>
    <w:rsid w:val="005C3506"/>
    <w:rsid w:val="005C490D"/>
    <w:rsid w:val="005C4D00"/>
    <w:rsid w:val="005C4F1B"/>
    <w:rsid w:val="005C57F3"/>
    <w:rsid w:val="005D0096"/>
    <w:rsid w:val="005D0D76"/>
    <w:rsid w:val="005D4D4E"/>
    <w:rsid w:val="005D5526"/>
    <w:rsid w:val="005D5609"/>
    <w:rsid w:val="005D6D3C"/>
    <w:rsid w:val="005E072F"/>
    <w:rsid w:val="005E0EF4"/>
    <w:rsid w:val="005E1ADB"/>
    <w:rsid w:val="005E204F"/>
    <w:rsid w:val="005E2642"/>
    <w:rsid w:val="005E32A4"/>
    <w:rsid w:val="005E69A6"/>
    <w:rsid w:val="005E7996"/>
    <w:rsid w:val="005E79C7"/>
    <w:rsid w:val="005F3824"/>
    <w:rsid w:val="005F5354"/>
    <w:rsid w:val="005F67E0"/>
    <w:rsid w:val="00600456"/>
    <w:rsid w:val="00600E99"/>
    <w:rsid w:val="00602774"/>
    <w:rsid w:val="006130CD"/>
    <w:rsid w:val="00613BE5"/>
    <w:rsid w:val="00616153"/>
    <w:rsid w:val="00620655"/>
    <w:rsid w:val="00620A95"/>
    <w:rsid w:val="006223D1"/>
    <w:rsid w:val="0062490A"/>
    <w:rsid w:val="00624B0E"/>
    <w:rsid w:val="00626F08"/>
    <w:rsid w:val="00634175"/>
    <w:rsid w:val="00635BC7"/>
    <w:rsid w:val="00636E4E"/>
    <w:rsid w:val="00641AB2"/>
    <w:rsid w:val="00641B1C"/>
    <w:rsid w:val="00645B17"/>
    <w:rsid w:val="00647282"/>
    <w:rsid w:val="0065229F"/>
    <w:rsid w:val="00654317"/>
    <w:rsid w:val="00655656"/>
    <w:rsid w:val="00656373"/>
    <w:rsid w:val="00657410"/>
    <w:rsid w:val="00661EF1"/>
    <w:rsid w:val="006656BD"/>
    <w:rsid w:val="00667963"/>
    <w:rsid w:val="00667A85"/>
    <w:rsid w:val="0067032D"/>
    <w:rsid w:val="00670597"/>
    <w:rsid w:val="0067322D"/>
    <w:rsid w:val="006828FE"/>
    <w:rsid w:val="006844CD"/>
    <w:rsid w:val="00684505"/>
    <w:rsid w:val="00687B22"/>
    <w:rsid w:val="00687DFC"/>
    <w:rsid w:val="00692C80"/>
    <w:rsid w:val="00694B18"/>
    <w:rsid w:val="00695B5E"/>
    <w:rsid w:val="00696526"/>
    <w:rsid w:val="006A41C5"/>
    <w:rsid w:val="006A6574"/>
    <w:rsid w:val="006A777D"/>
    <w:rsid w:val="006B2A40"/>
    <w:rsid w:val="006B35A3"/>
    <w:rsid w:val="006C0514"/>
    <w:rsid w:val="006C3EED"/>
    <w:rsid w:val="006C570C"/>
    <w:rsid w:val="006C776A"/>
    <w:rsid w:val="006D14FC"/>
    <w:rsid w:val="006D1865"/>
    <w:rsid w:val="006D26C2"/>
    <w:rsid w:val="006D2A3E"/>
    <w:rsid w:val="006D3994"/>
    <w:rsid w:val="006D3C10"/>
    <w:rsid w:val="006D7076"/>
    <w:rsid w:val="006E1FFC"/>
    <w:rsid w:val="006E586A"/>
    <w:rsid w:val="006E6077"/>
    <w:rsid w:val="006F06BA"/>
    <w:rsid w:val="006F1C1A"/>
    <w:rsid w:val="006F2F8F"/>
    <w:rsid w:val="006F40AE"/>
    <w:rsid w:val="006F4F1B"/>
    <w:rsid w:val="006F68A0"/>
    <w:rsid w:val="006F711A"/>
    <w:rsid w:val="007006AB"/>
    <w:rsid w:val="00700F33"/>
    <w:rsid w:val="00702CED"/>
    <w:rsid w:val="0070394B"/>
    <w:rsid w:val="00706896"/>
    <w:rsid w:val="00707FFE"/>
    <w:rsid w:val="00717945"/>
    <w:rsid w:val="00724FD7"/>
    <w:rsid w:val="007323CC"/>
    <w:rsid w:val="00732425"/>
    <w:rsid w:val="0073691D"/>
    <w:rsid w:val="0074134A"/>
    <w:rsid w:val="00742370"/>
    <w:rsid w:val="007444C9"/>
    <w:rsid w:val="007445BD"/>
    <w:rsid w:val="00744ACC"/>
    <w:rsid w:val="007464AD"/>
    <w:rsid w:val="00750606"/>
    <w:rsid w:val="00750D02"/>
    <w:rsid w:val="0075223E"/>
    <w:rsid w:val="007544D0"/>
    <w:rsid w:val="00755586"/>
    <w:rsid w:val="00761557"/>
    <w:rsid w:val="00763B5E"/>
    <w:rsid w:val="00764A0D"/>
    <w:rsid w:val="0077054A"/>
    <w:rsid w:val="00770FE7"/>
    <w:rsid w:val="00772DA0"/>
    <w:rsid w:val="00776904"/>
    <w:rsid w:val="007778E4"/>
    <w:rsid w:val="0078273A"/>
    <w:rsid w:val="00782D79"/>
    <w:rsid w:val="00783332"/>
    <w:rsid w:val="0078431D"/>
    <w:rsid w:val="00786CA0"/>
    <w:rsid w:val="00790EF5"/>
    <w:rsid w:val="007927B5"/>
    <w:rsid w:val="00795178"/>
    <w:rsid w:val="00795E4C"/>
    <w:rsid w:val="007961C4"/>
    <w:rsid w:val="007A2E67"/>
    <w:rsid w:val="007A43D7"/>
    <w:rsid w:val="007A5095"/>
    <w:rsid w:val="007A5729"/>
    <w:rsid w:val="007A6CD7"/>
    <w:rsid w:val="007B2B92"/>
    <w:rsid w:val="007B4C8D"/>
    <w:rsid w:val="007B7E10"/>
    <w:rsid w:val="007C3584"/>
    <w:rsid w:val="007C3AC8"/>
    <w:rsid w:val="007C4F98"/>
    <w:rsid w:val="007C68DD"/>
    <w:rsid w:val="007C77B8"/>
    <w:rsid w:val="007C7C1B"/>
    <w:rsid w:val="007D17DA"/>
    <w:rsid w:val="007D32E7"/>
    <w:rsid w:val="007D3EC5"/>
    <w:rsid w:val="007E1B6E"/>
    <w:rsid w:val="007E4AD2"/>
    <w:rsid w:val="007E4BC0"/>
    <w:rsid w:val="007E528C"/>
    <w:rsid w:val="007E60C1"/>
    <w:rsid w:val="007E6851"/>
    <w:rsid w:val="007F37B5"/>
    <w:rsid w:val="007F3987"/>
    <w:rsid w:val="007F7E6F"/>
    <w:rsid w:val="008002AF"/>
    <w:rsid w:val="00801A77"/>
    <w:rsid w:val="00801C4B"/>
    <w:rsid w:val="0080440B"/>
    <w:rsid w:val="00805C6D"/>
    <w:rsid w:val="008073E3"/>
    <w:rsid w:val="00807AC9"/>
    <w:rsid w:val="008118C5"/>
    <w:rsid w:val="00812400"/>
    <w:rsid w:val="0081276E"/>
    <w:rsid w:val="00815200"/>
    <w:rsid w:val="00815328"/>
    <w:rsid w:val="00821014"/>
    <w:rsid w:val="00822AE6"/>
    <w:rsid w:val="0083180B"/>
    <w:rsid w:val="00831C59"/>
    <w:rsid w:val="00831D43"/>
    <w:rsid w:val="0083296B"/>
    <w:rsid w:val="0083499A"/>
    <w:rsid w:val="00836746"/>
    <w:rsid w:val="00840618"/>
    <w:rsid w:val="00840F28"/>
    <w:rsid w:val="00842A5F"/>
    <w:rsid w:val="00845088"/>
    <w:rsid w:val="0085011C"/>
    <w:rsid w:val="00850C2F"/>
    <w:rsid w:val="00850D9A"/>
    <w:rsid w:val="008510D6"/>
    <w:rsid w:val="00853737"/>
    <w:rsid w:val="008574B1"/>
    <w:rsid w:val="00860C40"/>
    <w:rsid w:val="008635DB"/>
    <w:rsid w:val="00865E05"/>
    <w:rsid w:val="008664B4"/>
    <w:rsid w:val="00866C85"/>
    <w:rsid w:val="00871D58"/>
    <w:rsid w:val="008723FA"/>
    <w:rsid w:val="0087621F"/>
    <w:rsid w:val="00885B3F"/>
    <w:rsid w:val="00897B9B"/>
    <w:rsid w:val="00897EB8"/>
    <w:rsid w:val="008A1127"/>
    <w:rsid w:val="008A1C3E"/>
    <w:rsid w:val="008A1D9F"/>
    <w:rsid w:val="008A45AB"/>
    <w:rsid w:val="008B2316"/>
    <w:rsid w:val="008B4669"/>
    <w:rsid w:val="008B509E"/>
    <w:rsid w:val="008B6DAF"/>
    <w:rsid w:val="008C050C"/>
    <w:rsid w:val="008C1ECA"/>
    <w:rsid w:val="008C4022"/>
    <w:rsid w:val="008C4D27"/>
    <w:rsid w:val="008D601A"/>
    <w:rsid w:val="008D7A1A"/>
    <w:rsid w:val="008E08FB"/>
    <w:rsid w:val="008E147E"/>
    <w:rsid w:val="008E169B"/>
    <w:rsid w:val="008E5BC4"/>
    <w:rsid w:val="008E5D7C"/>
    <w:rsid w:val="008E65F1"/>
    <w:rsid w:val="008E66E7"/>
    <w:rsid w:val="008F0693"/>
    <w:rsid w:val="008F4D75"/>
    <w:rsid w:val="0090160F"/>
    <w:rsid w:val="00907049"/>
    <w:rsid w:val="009106B3"/>
    <w:rsid w:val="00913EEF"/>
    <w:rsid w:val="00920E13"/>
    <w:rsid w:val="00925A70"/>
    <w:rsid w:val="00925F45"/>
    <w:rsid w:val="00926A0B"/>
    <w:rsid w:val="00930B77"/>
    <w:rsid w:val="009330CD"/>
    <w:rsid w:val="00936183"/>
    <w:rsid w:val="009404C3"/>
    <w:rsid w:val="0094204A"/>
    <w:rsid w:val="009434E1"/>
    <w:rsid w:val="0094453C"/>
    <w:rsid w:val="0094733A"/>
    <w:rsid w:val="00947C67"/>
    <w:rsid w:val="00950BC3"/>
    <w:rsid w:val="0095296B"/>
    <w:rsid w:val="00952CC9"/>
    <w:rsid w:val="0095344E"/>
    <w:rsid w:val="009538F7"/>
    <w:rsid w:val="00954F37"/>
    <w:rsid w:val="0095722A"/>
    <w:rsid w:val="009603DF"/>
    <w:rsid w:val="00963B78"/>
    <w:rsid w:val="00966483"/>
    <w:rsid w:val="009737AC"/>
    <w:rsid w:val="009754D4"/>
    <w:rsid w:val="00977F05"/>
    <w:rsid w:val="00980ED4"/>
    <w:rsid w:val="009852AC"/>
    <w:rsid w:val="009853AF"/>
    <w:rsid w:val="00985DFF"/>
    <w:rsid w:val="009862DB"/>
    <w:rsid w:val="00990473"/>
    <w:rsid w:val="00991A6A"/>
    <w:rsid w:val="00991B77"/>
    <w:rsid w:val="0099567A"/>
    <w:rsid w:val="00997AD0"/>
    <w:rsid w:val="009A1467"/>
    <w:rsid w:val="009A207F"/>
    <w:rsid w:val="009A2CED"/>
    <w:rsid w:val="009A632F"/>
    <w:rsid w:val="009B049D"/>
    <w:rsid w:val="009B04A7"/>
    <w:rsid w:val="009B40A2"/>
    <w:rsid w:val="009B53F4"/>
    <w:rsid w:val="009B5984"/>
    <w:rsid w:val="009C1C5D"/>
    <w:rsid w:val="009C374B"/>
    <w:rsid w:val="009C3A16"/>
    <w:rsid w:val="009C56D9"/>
    <w:rsid w:val="009C6245"/>
    <w:rsid w:val="009C765F"/>
    <w:rsid w:val="009D24C7"/>
    <w:rsid w:val="009D3849"/>
    <w:rsid w:val="009D4510"/>
    <w:rsid w:val="009D4B6A"/>
    <w:rsid w:val="009D5341"/>
    <w:rsid w:val="009D5F6D"/>
    <w:rsid w:val="009E0BE0"/>
    <w:rsid w:val="009E31D0"/>
    <w:rsid w:val="009E3639"/>
    <w:rsid w:val="009E75B1"/>
    <w:rsid w:val="009F042C"/>
    <w:rsid w:val="009F2C97"/>
    <w:rsid w:val="009F389D"/>
    <w:rsid w:val="009F5226"/>
    <w:rsid w:val="009F5A76"/>
    <w:rsid w:val="00A003BB"/>
    <w:rsid w:val="00A02BA7"/>
    <w:rsid w:val="00A04A01"/>
    <w:rsid w:val="00A10FB4"/>
    <w:rsid w:val="00A123C9"/>
    <w:rsid w:val="00A1346D"/>
    <w:rsid w:val="00A16F63"/>
    <w:rsid w:val="00A173FF"/>
    <w:rsid w:val="00A23268"/>
    <w:rsid w:val="00A250C8"/>
    <w:rsid w:val="00A2619C"/>
    <w:rsid w:val="00A326C8"/>
    <w:rsid w:val="00A32C6A"/>
    <w:rsid w:val="00A36097"/>
    <w:rsid w:val="00A36562"/>
    <w:rsid w:val="00A40442"/>
    <w:rsid w:val="00A470BF"/>
    <w:rsid w:val="00A510A0"/>
    <w:rsid w:val="00A536C9"/>
    <w:rsid w:val="00A536CB"/>
    <w:rsid w:val="00A64F2A"/>
    <w:rsid w:val="00A668B5"/>
    <w:rsid w:val="00A67D6B"/>
    <w:rsid w:val="00A74A4F"/>
    <w:rsid w:val="00A77A49"/>
    <w:rsid w:val="00A804A8"/>
    <w:rsid w:val="00A83CC8"/>
    <w:rsid w:val="00A86C63"/>
    <w:rsid w:val="00A873A4"/>
    <w:rsid w:val="00A90E83"/>
    <w:rsid w:val="00A91F85"/>
    <w:rsid w:val="00A9283D"/>
    <w:rsid w:val="00A92F1C"/>
    <w:rsid w:val="00A94341"/>
    <w:rsid w:val="00AA0194"/>
    <w:rsid w:val="00AA0A01"/>
    <w:rsid w:val="00AA3151"/>
    <w:rsid w:val="00AA6D09"/>
    <w:rsid w:val="00AB2A63"/>
    <w:rsid w:val="00AB3BA8"/>
    <w:rsid w:val="00AB4557"/>
    <w:rsid w:val="00AB6226"/>
    <w:rsid w:val="00AB6BBF"/>
    <w:rsid w:val="00AC07EB"/>
    <w:rsid w:val="00AC0937"/>
    <w:rsid w:val="00AC140E"/>
    <w:rsid w:val="00AC1A95"/>
    <w:rsid w:val="00AC2212"/>
    <w:rsid w:val="00AC223C"/>
    <w:rsid w:val="00AC7472"/>
    <w:rsid w:val="00AC7A20"/>
    <w:rsid w:val="00AD2692"/>
    <w:rsid w:val="00AD273B"/>
    <w:rsid w:val="00AD7400"/>
    <w:rsid w:val="00AE4521"/>
    <w:rsid w:val="00AE61C6"/>
    <w:rsid w:val="00AF0883"/>
    <w:rsid w:val="00AF4F7C"/>
    <w:rsid w:val="00AF551D"/>
    <w:rsid w:val="00AF67B6"/>
    <w:rsid w:val="00AF799B"/>
    <w:rsid w:val="00AF7E9D"/>
    <w:rsid w:val="00B01438"/>
    <w:rsid w:val="00B01F6E"/>
    <w:rsid w:val="00B05D35"/>
    <w:rsid w:val="00B06C5C"/>
    <w:rsid w:val="00B10059"/>
    <w:rsid w:val="00B10ABA"/>
    <w:rsid w:val="00B140A1"/>
    <w:rsid w:val="00B14586"/>
    <w:rsid w:val="00B14C38"/>
    <w:rsid w:val="00B212E0"/>
    <w:rsid w:val="00B23734"/>
    <w:rsid w:val="00B2473C"/>
    <w:rsid w:val="00B24A60"/>
    <w:rsid w:val="00B36D78"/>
    <w:rsid w:val="00B37C87"/>
    <w:rsid w:val="00B37FB1"/>
    <w:rsid w:val="00B423E4"/>
    <w:rsid w:val="00B479C6"/>
    <w:rsid w:val="00B47FB2"/>
    <w:rsid w:val="00B5144A"/>
    <w:rsid w:val="00B542E2"/>
    <w:rsid w:val="00B549A9"/>
    <w:rsid w:val="00B57DD7"/>
    <w:rsid w:val="00B62F51"/>
    <w:rsid w:val="00B64EF0"/>
    <w:rsid w:val="00B71F9B"/>
    <w:rsid w:val="00B73AC3"/>
    <w:rsid w:val="00B74AA0"/>
    <w:rsid w:val="00B75EFA"/>
    <w:rsid w:val="00B80DC1"/>
    <w:rsid w:val="00B84493"/>
    <w:rsid w:val="00B85739"/>
    <w:rsid w:val="00B86A1E"/>
    <w:rsid w:val="00B909E0"/>
    <w:rsid w:val="00B923D0"/>
    <w:rsid w:val="00B9488E"/>
    <w:rsid w:val="00B94C33"/>
    <w:rsid w:val="00BA1DA2"/>
    <w:rsid w:val="00BA6148"/>
    <w:rsid w:val="00BA67DC"/>
    <w:rsid w:val="00BA7AED"/>
    <w:rsid w:val="00BA7CE8"/>
    <w:rsid w:val="00BB030B"/>
    <w:rsid w:val="00BB2D45"/>
    <w:rsid w:val="00BB4548"/>
    <w:rsid w:val="00BC14E2"/>
    <w:rsid w:val="00BC2C6C"/>
    <w:rsid w:val="00BC52B0"/>
    <w:rsid w:val="00BC6B68"/>
    <w:rsid w:val="00BD0AE9"/>
    <w:rsid w:val="00BD0DE5"/>
    <w:rsid w:val="00BD510D"/>
    <w:rsid w:val="00BD6D98"/>
    <w:rsid w:val="00BE1B3F"/>
    <w:rsid w:val="00BE2BC2"/>
    <w:rsid w:val="00BF0801"/>
    <w:rsid w:val="00BF1728"/>
    <w:rsid w:val="00BF1A63"/>
    <w:rsid w:val="00BF265A"/>
    <w:rsid w:val="00BF28E6"/>
    <w:rsid w:val="00BF56AE"/>
    <w:rsid w:val="00BF58AC"/>
    <w:rsid w:val="00BF6C25"/>
    <w:rsid w:val="00C00BEC"/>
    <w:rsid w:val="00C038F5"/>
    <w:rsid w:val="00C05133"/>
    <w:rsid w:val="00C06C7E"/>
    <w:rsid w:val="00C1244A"/>
    <w:rsid w:val="00C12A05"/>
    <w:rsid w:val="00C12C3E"/>
    <w:rsid w:val="00C15C93"/>
    <w:rsid w:val="00C15DB8"/>
    <w:rsid w:val="00C171D8"/>
    <w:rsid w:val="00C20932"/>
    <w:rsid w:val="00C217F4"/>
    <w:rsid w:val="00C22D41"/>
    <w:rsid w:val="00C233D0"/>
    <w:rsid w:val="00C26945"/>
    <w:rsid w:val="00C2715D"/>
    <w:rsid w:val="00C2775F"/>
    <w:rsid w:val="00C3276B"/>
    <w:rsid w:val="00C3363D"/>
    <w:rsid w:val="00C36265"/>
    <w:rsid w:val="00C36CC3"/>
    <w:rsid w:val="00C37A69"/>
    <w:rsid w:val="00C37CAE"/>
    <w:rsid w:val="00C40312"/>
    <w:rsid w:val="00C46AE8"/>
    <w:rsid w:val="00C530FC"/>
    <w:rsid w:val="00C600F2"/>
    <w:rsid w:val="00C61D4E"/>
    <w:rsid w:val="00C61F38"/>
    <w:rsid w:val="00C63ACD"/>
    <w:rsid w:val="00C653D6"/>
    <w:rsid w:val="00C65964"/>
    <w:rsid w:val="00C678DB"/>
    <w:rsid w:val="00C70592"/>
    <w:rsid w:val="00C7177C"/>
    <w:rsid w:val="00C72089"/>
    <w:rsid w:val="00C73E18"/>
    <w:rsid w:val="00C757F0"/>
    <w:rsid w:val="00C80A44"/>
    <w:rsid w:val="00C81FC7"/>
    <w:rsid w:val="00C91AC2"/>
    <w:rsid w:val="00C91F91"/>
    <w:rsid w:val="00C922D5"/>
    <w:rsid w:val="00C95823"/>
    <w:rsid w:val="00C96D3E"/>
    <w:rsid w:val="00C9792F"/>
    <w:rsid w:val="00CA3E12"/>
    <w:rsid w:val="00CA48CB"/>
    <w:rsid w:val="00CA55D1"/>
    <w:rsid w:val="00CA67B8"/>
    <w:rsid w:val="00CB1DD8"/>
    <w:rsid w:val="00CB1E51"/>
    <w:rsid w:val="00CB2A78"/>
    <w:rsid w:val="00CB328C"/>
    <w:rsid w:val="00CB4DFA"/>
    <w:rsid w:val="00CB6912"/>
    <w:rsid w:val="00CB73D0"/>
    <w:rsid w:val="00CC2489"/>
    <w:rsid w:val="00CC4710"/>
    <w:rsid w:val="00CC756A"/>
    <w:rsid w:val="00CD1019"/>
    <w:rsid w:val="00CD16D1"/>
    <w:rsid w:val="00CD4D7F"/>
    <w:rsid w:val="00CD63A1"/>
    <w:rsid w:val="00CD76DD"/>
    <w:rsid w:val="00CE46F1"/>
    <w:rsid w:val="00CE78F6"/>
    <w:rsid w:val="00CF035D"/>
    <w:rsid w:val="00CF72AD"/>
    <w:rsid w:val="00CF7B3C"/>
    <w:rsid w:val="00D017AD"/>
    <w:rsid w:val="00D02105"/>
    <w:rsid w:val="00D0254F"/>
    <w:rsid w:val="00D03A86"/>
    <w:rsid w:val="00D04D03"/>
    <w:rsid w:val="00D0643D"/>
    <w:rsid w:val="00D06446"/>
    <w:rsid w:val="00D10AB1"/>
    <w:rsid w:val="00D201FD"/>
    <w:rsid w:val="00D20E86"/>
    <w:rsid w:val="00D230DA"/>
    <w:rsid w:val="00D27BBA"/>
    <w:rsid w:val="00D30C7F"/>
    <w:rsid w:val="00D3357D"/>
    <w:rsid w:val="00D34871"/>
    <w:rsid w:val="00D357B2"/>
    <w:rsid w:val="00D41577"/>
    <w:rsid w:val="00D422B5"/>
    <w:rsid w:val="00D44019"/>
    <w:rsid w:val="00D464D1"/>
    <w:rsid w:val="00D52FA7"/>
    <w:rsid w:val="00D564C2"/>
    <w:rsid w:val="00D609CE"/>
    <w:rsid w:val="00D675F9"/>
    <w:rsid w:val="00D70305"/>
    <w:rsid w:val="00D7040C"/>
    <w:rsid w:val="00D71164"/>
    <w:rsid w:val="00D71416"/>
    <w:rsid w:val="00D7155F"/>
    <w:rsid w:val="00D72C2A"/>
    <w:rsid w:val="00D72DFA"/>
    <w:rsid w:val="00D744AE"/>
    <w:rsid w:val="00D74E19"/>
    <w:rsid w:val="00D76209"/>
    <w:rsid w:val="00D76814"/>
    <w:rsid w:val="00D7794B"/>
    <w:rsid w:val="00D77AF9"/>
    <w:rsid w:val="00D80998"/>
    <w:rsid w:val="00D80DDF"/>
    <w:rsid w:val="00D81F1C"/>
    <w:rsid w:val="00D82204"/>
    <w:rsid w:val="00D83A20"/>
    <w:rsid w:val="00D928FE"/>
    <w:rsid w:val="00D94DC1"/>
    <w:rsid w:val="00DA0B93"/>
    <w:rsid w:val="00DA2F1F"/>
    <w:rsid w:val="00DA7995"/>
    <w:rsid w:val="00DB4BC8"/>
    <w:rsid w:val="00DC1648"/>
    <w:rsid w:val="00DC4F73"/>
    <w:rsid w:val="00DC629D"/>
    <w:rsid w:val="00DC7C1A"/>
    <w:rsid w:val="00DD5CCC"/>
    <w:rsid w:val="00DD7AFC"/>
    <w:rsid w:val="00DE167B"/>
    <w:rsid w:val="00DE174C"/>
    <w:rsid w:val="00DE2A3E"/>
    <w:rsid w:val="00DE31B0"/>
    <w:rsid w:val="00DE5907"/>
    <w:rsid w:val="00DE65E7"/>
    <w:rsid w:val="00DE7509"/>
    <w:rsid w:val="00DF22E8"/>
    <w:rsid w:val="00E0253B"/>
    <w:rsid w:val="00E03297"/>
    <w:rsid w:val="00E03AB4"/>
    <w:rsid w:val="00E069E3"/>
    <w:rsid w:val="00E07310"/>
    <w:rsid w:val="00E15618"/>
    <w:rsid w:val="00E178C9"/>
    <w:rsid w:val="00E20872"/>
    <w:rsid w:val="00E242B4"/>
    <w:rsid w:val="00E250AD"/>
    <w:rsid w:val="00E2701C"/>
    <w:rsid w:val="00E27B2E"/>
    <w:rsid w:val="00E333E7"/>
    <w:rsid w:val="00E3392E"/>
    <w:rsid w:val="00E41A77"/>
    <w:rsid w:val="00E44AF4"/>
    <w:rsid w:val="00E46BF1"/>
    <w:rsid w:val="00E501E5"/>
    <w:rsid w:val="00E5057E"/>
    <w:rsid w:val="00E51E40"/>
    <w:rsid w:val="00E567BA"/>
    <w:rsid w:val="00E574FC"/>
    <w:rsid w:val="00E57508"/>
    <w:rsid w:val="00E615FE"/>
    <w:rsid w:val="00E61C25"/>
    <w:rsid w:val="00E72D02"/>
    <w:rsid w:val="00E7428F"/>
    <w:rsid w:val="00E74C6A"/>
    <w:rsid w:val="00E77B08"/>
    <w:rsid w:val="00E839AD"/>
    <w:rsid w:val="00E85031"/>
    <w:rsid w:val="00E90027"/>
    <w:rsid w:val="00E918BD"/>
    <w:rsid w:val="00E946DA"/>
    <w:rsid w:val="00E973A5"/>
    <w:rsid w:val="00E976BB"/>
    <w:rsid w:val="00EA1DB4"/>
    <w:rsid w:val="00EA21B3"/>
    <w:rsid w:val="00EA43F6"/>
    <w:rsid w:val="00EA48D2"/>
    <w:rsid w:val="00EA4A12"/>
    <w:rsid w:val="00EB2B9E"/>
    <w:rsid w:val="00EB365A"/>
    <w:rsid w:val="00EB3BE1"/>
    <w:rsid w:val="00EC3B81"/>
    <w:rsid w:val="00EC5658"/>
    <w:rsid w:val="00EC6394"/>
    <w:rsid w:val="00ED1869"/>
    <w:rsid w:val="00ED5F04"/>
    <w:rsid w:val="00ED683A"/>
    <w:rsid w:val="00EE424B"/>
    <w:rsid w:val="00EE49B6"/>
    <w:rsid w:val="00EE4BBF"/>
    <w:rsid w:val="00EE681B"/>
    <w:rsid w:val="00EF40C6"/>
    <w:rsid w:val="00EF5682"/>
    <w:rsid w:val="00EF7D09"/>
    <w:rsid w:val="00F00416"/>
    <w:rsid w:val="00F06FAA"/>
    <w:rsid w:val="00F0790F"/>
    <w:rsid w:val="00F15B5E"/>
    <w:rsid w:val="00F226BD"/>
    <w:rsid w:val="00F22737"/>
    <w:rsid w:val="00F24368"/>
    <w:rsid w:val="00F25E0E"/>
    <w:rsid w:val="00F262FE"/>
    <w:rsid w:val="00F3317A"/>
    <w:rsid w:val="00F34C95"/>
    <w:rsid w:val="00F35471"/>
    <w:rsid w:val="00F42387"/>
    <w:rsid w:val="00F47BBA"/>
    <w:rsid w:val="00F50590"/>
    <w:rsid w:val="00F5062D"/>
    <w:rsid w:val="00F51F5E"/>
    <w:rsid w:val="00F54D21"/>
    <w:rsid w:val="00F56E43"/>
    <w:rsid w:val="00F574A5"/>
    <w:rsid w:val="00F57A1B"/>
    <w:rsid w:val="00F57A5C"/>
    <w:rsid w:val="00F65D80"/>
    <w:rsid w:val="00F703F4"/>
    <w:rsid w:val="00F7056E"/>
    <w:rsid w:val="00F75848"/>
    <w:rsid w:val="00F81272"/>
    <w:rsid w:val="00F82A3F"/>
    <w:rsid w:val="00F83E44"/>
    <w:rsid w:val="00F8534F"/>
    <w:rsid w:val="00F8669E"/>
    <w:rsid w:val="00F90908"/>
    <w:rsid w:val="00F90B73"/>
    <w:rsid w:val="00F9155E"/>
    <w:rsid w:val="00F943DD"/>
    <w:rsid w:val="00F95B58"/>
    <w:rsid w:val="00F97381"/>
    <w:rsid w:val="00F9738B"/>
    <w:rsid w:val="00FA1552"/>
    <w:rsid w:val="00FA30DF"/>
    <w:rsid w:val="00FA387D"/>
    <w:rsid w:val="00FA5408"/>
    <w:rsid w:val="00FA7C2C"/>
    <w:rsid w:val="00FB09C5"/>
    <w:rsid w:val="00FB1C22"/>
    <w:rsid w:val="00FB455D"/>
    <w:rsid w:val="00FB6568"/>
    <w:rsid w:val="00FC5959"/>
    <w:rsid w:val="00FC5E5A"/>
    <w:rsid w:val="00FC6A49"/>
    <w:rsid w:val="00FD0700"/>
    <w:rsid w:val="00FD0839"/>
    <w:rsid w:val="00FD0C8F"/>
    <w:rsid w:val="00FD1E2D"/>
    <w:rsid w:val="00FD272B"/>
    <w:rsid w:val="00FD2E74"/>
    <w:rsid w:val="00FE2357"/>
    <w:rsid w:val="00FE5BBB"/>
    <w:rsid w:val="00FE7FD3"/>
    <w:rsid w:val="00FF1CE3"/>
    <w:rsid w:val="00FF1D21"/>
    <w:rsid w:val="00FF21E0"/>
    <w:rsid w:val="00FF39B0"/>
    <w:rsid w:val="00FF5BD9"/>
    <w:rsid w:val="00FF6F5C"/>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rsid w:val="005D4D4E"/>
    <w:pPr>
      <w:autoSpaceDE w:val="0"/>
      <w:autoSpaceDN w:val="0"/>
      <w:adjustRightInd w:val="0"/>
      <w:spacing w:after="0" w:line="240" w:lineRule="auto"/>
      <w:outlineLvl w:val="0"/>
    </w:pPr>
    <w:rPr>
      <w:rFonts w:ascii="Calibri" w:hAnsi="Calibri"/>
      <w:sz w:val="24"/>
      <w:szCs w:val="24"/>
    </w:rPr>
  </w:style>
  <w:style w:type="paragraph" w:styleId="Antrat2">
    <w:name w:val="heading 2"/>
    <w:basedOn w:val="prastasis"/>
    <w:next w:val="prastasis"/>
    <w:link w:val="Antrat2Diagrama"/>
    <w:uiPriority w:val="99"/>
    <w:qFormat/>
    <w:rsid w:val="005D4D4E"/>
    <w:pPr>
      <w:autoSpaceDE w:val="0"/>
      <w:autoSpaceDN w:val="0"/>
      <w:adjustRightInd w:val="0"/>
      <w:spacing w:after="0" w:line="240" w:lineRule="auto"/>
      <w:outlineLvl w:val="1"/>
    </w:pPr>
    <w:rPr>
      <w:rFonts w:ascii="Calibri" w:hAnsi="Calibri"/>
      <w:sz w:val="24"/>
      <w:szCs w:val="24"/>
    </w:rPr>
  </w:style>
  <w:style w:type="paragraph" w:styleId="Antrat3">
    <w:name w:val="heading 3"/>
    <w:basedOn w:val="prastasis"/>
    <w:next w:val="prastasis"/>
    <w:link w:val="Antrat3Diagrama"/>
    <w:uiPriority w:val="99"/>
    <w:qFormat/>
    <w:rsid w:val="005D4D4E"/>
    <w:pPr>
      <w:autoSpaceDE w:val="0"/>
      <w:autoSpaceDN w:val="0"/>
      <w:adjustRightInd w:val="0"/>
      <w:spacing w:after="0" w:line="240" w:lineRule="auto"/>
      <w:outlineLvl w:val="2"/>
    </w:pPr>
    <w:rPr>
      <w:rFonts w:ascii="Calibri" w:hAnsi="Calibr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D4D4E"/>
    <w:rPr>
      <w:rFonts w:ascii="Calibri" w:hAnsi="Calibri"/>
      <w:sz w:val="24"/>
      <w:szCs w:val="24"/>
    </w:rPr>
  </w:style>
  <w:style w:type="character" w:customStyle="1" w:styleId="Antrat2Diagrama">
    <w:name w:val="Antraštė 2 Diagrama"/>
    <w:basedOn w:val="Numatytasispastraiposriftas"/>
    <w:link w:val="Antrat2"/>
    <w:uiPriority w:val="99"/>
    <w:rsid w:val="005D4D4E"/>
    <w:rPr>
      <w:rFonts w:ascii="Calibri" w:hAnsi="Calibri"/>
      <w:sz w:val="24"/>
      <w:szCs w:val="24"/>
    </w:rPr>
  </w:style>
  <w:style w:type="character" w:customStyle="1" w:styleId="Antrat3Diagrama">
    <w:name w:val="Antraštė 3 Diagrama"/>
    <w:basedOn w:val="Numatytasispastraiposriftas"/>
    <w:link w:val="Antrat3"/>
    <w:uiPriority w:val="99"/>
    <w:rsid w:val="005D4D4E"/>
    <w:rPr>
      <w:rFonts w:ascii="Calibri" w:hAnsi="Calibri"/>
      <w:sz w:val="24"/>
      <w:szCs w:val="24"/>
    </w:rPr>
  </w:style>
  <w:style w:type="paragraph" w:styleId="Debesliotekstas">
    <w:name w:val="Balloon Text"/>
    <w:basedOn w:val="prastasis"/>
    <w:link w:val="DebesliotekstasDiagrama"/>
    <w:uiPriority w:val="99"/>
    <w:semiHidden/>
    <w:unhideWhenUsed/>
    <w:rsid w:val="005D4D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4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9"/>
    <w:qFormat/>
    <w:rsid w:val="005D4D4E"/>
    <w:pPr>
      <w:autoSpaceDE w:val="0"/>
      <w:autoSpaceDN w:val="0"/>
      <w:adjustRightInd w:val="0"/>
      <w:spacing w:after="0" w:line="240" w:lineRule="auto"/>
      <w:outlineLvl w:val="0"/>
    </w:pPr>
    <w:rPr>
      <w:rFonts w:ascii="Calibri" w:hAnsi="Calibri"/>
      <w:sz w:val="24"/>
      <w:szCs w:val="24"/>
    </w:rPr>
  </w:style>
  <w:style w:type="paragraph" w:styleId="Antrat2">
    <w:name w:val="heading 2"/>
    <w:basedOn w:val="prastasis"/>
    <w:next w:val="prastasis"/>
    <w:link w:val="Antrat2Diagrama"/>
    <w:uiPriority w:val="99"/>
    <w:qFormat/>
    <w:rsid w:val="005D4D4E"/>
    <w:pPr>
      <w:autoSpaceDE w:val="0"/>
      <w:autoSpaceDN w:val="0"/>
      <w:adjustRightInd w:val="0"/>
      <w:spacing w:after="0" w:line="240" w:lineRule="auto"/>
      <w:outlineLvl w:val="1"/>
    </w:pPr>
    <w:rPr>
      <w:rFonts w:ascii="Calibri" w:hAnsi="Calibri"/>
      <w:sz w:val="24"/>
      <w:szCs w:val="24"/>
    </w:rPr>
  </w:style>
  <w:style w:type="paragraph" w:styleId="Antrat3">
    <w:name w:val="heading 3"/>
    <w:basedOn w:val="prastasis"/>
    <w:next w:val="prastasis"/>
    <w:link w:val="Antrat3Diagrama"/>
    <w:uiPriority w:val="99"/>
    <w:qFormat/>
    <w:rsid w:val="005D4D4E"/>
    <w:pPr>
      <w:autoSpaceDE w:val="0"/>
      <w:autoSpaceDN w:val="0"/>
      <w:adjustRightInd w:val="0"/>
      <w:spacing w:after="0" w:line="240" w:lineRule="auto"/>
      <w:outlineLvl w:val="2"/>
    </w:pPr>
    <w:rPr>
      <w:rFonts w:ascii="Calibri" w:hAnsi="Calibr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D4D4E"/>
    <w:rPr>
      <w:rFonts w:ascii="Calibri" w:hAnsi="Calibri"/>
      <w:sz w:val="24"/>
      <w:szCs w:val="24"/>
    </w:rPr>
  </w:style>
  <w:style w:type="character" w:customStyle="1" w:styleId="Antrat2Diagrama">
    <w:name w:val="Antraštė 2 Diagrama"/>
    <w:basedOn w:val="Numatytasispastraiposriftas"/>
    <w:link w:val="Antrat2"/>
    <w:uiPriority w:val="99"/>
    <w:rsid w:val="005D4D4E"/>
    <w:rPr>
      <w:rFonts w:ascii="Calibri" w:hAnsi="Calibri"/>
      <w:sz w:val="24"/>
      <w:szCs w:val="24"/>
    </w:rPr>
  </w:style>
  <w:style w:type="character" w:customStyle="1" w:styleId="Antrat3Diagrama">
    <w:name w:val="Antraštė 3 Diagrama"/>
    <w:basedOn w:val="Numatytasispastraiposriftas"/>
    <w:link w:val="Antrat3"/>
    <w:uiPriority w:val="99"/>
    <w:rsid w:val="005D4D4E"/>
    <w:rPr>
      <w:rFonts w:ascii="Calibri" w:hAnsi="Calibri"/>
      <w:sz w:val="24"/>
      <w:szCs w:val="24"/>
    </w:rPr>
  </w:style>
  <w:style w:type="paragraph" w:styleId="Debesliotekstas">
    <w:name w:val="Balloon Text"/>
    <w:basedOn w:val="prastasis"/>
    <w:link w:val="DebesliotekstasDiagrama"/>
    <w:uiPriority w:val="99"/>
    <w:semiHidden/>
    <w:unhideWhenUsed/>
    <w:rsid w:val="005D4D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4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l%20" TargetMode="External"/><Relationship Id="rId18" Type="http://schemas.openxmlformats.org/officeDocument/2006/relationships/hyperlink" Target="l%20" TargetMode="External"/><Relationship Id="rId26" Type="http://schemas.openxmlformats.org/officeDocument/2006/relationships/hyperlink" Target="http://www.bologna-and-music.org" TargetMode="External"/><Relationship Id="rId3" Type="http://schemas.openxmlformats.org/officeDocument/2006/relationships/settings" Target="settings.xml"/><Relationship Id="rId21" Type="http://schemas.openxmlformats.org/officeDocument/2006/relationships/hyperlink" Target="l%20" TargetMode="External"/><Relationship Id="rId7" Type="http://schemas.openxmlformats.org/officeDocument/2006/relationships/hyperlink" Target="l%20"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25" Type="http://schemas.openxmlformats.org/officeDocument/2006/relationships/hyperlink" Target="l%20" TargetMode="External"/><Relationship Id="rId2" Type="http://schemas.microsoft.com/office/2007/relationships/stylesWithEffects" Target="stylesWithEffects.xml"/><Relationship Id="rId16" Type="http://schemas.openxmlformats.org/officeDocument/2006/relationships/hyperlink" Target="l%20" TargetMode="External"/><Relationship Id="rId20" Type="http://schemas.openxmlformats.org/officeDocument/2006/relationships/hyperlink" Target="l%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20" TargetMode="External"/><Relationship Id="rId11" Type="http://schemas.openxmlformats.org/officeDocument/2006/relationships/hyperlink" Target="l%20" TargetMode="External"/><Relationship Id="rId24" Type="http://schemas.openxmlformats.org/officeDocument/2006/relationships/hyperlink" Target="l%20" TargetMode="External"/><Relationship Id="rId5" Type="http://schemas.openxmlformats.org/officeDocument/2006/relationships/image" Target="media/image1.wmf"/><Relationship Id="rId15" Type="http://schemas.openxmlformats.org/officeDocument/2006/relationships/hyperlink" Target="l%20" TargetMode="External"/><Relationship Id="rId23" Type="http://schemas.openxmlformats.org/officeDocument/2006/relationships/hyperlink" Target="l%20" TargetMode="External"/><Relationship Id="rId28" Type="http://schemas.openxmlformats.org/officeDocument/2006/relationships/fontTable" Target="fontTable.xml"/><Relationship Id="rId10" Type="http://schemas.openxmlformats.org/officeDocument/2006/relationships/hyperlink" Target="l%20" TargetMode="External"/><Relationship Id="rId19" Type="http://schemas.openxmlformats.org/officeDocument/2006/relationships/hyperlink" Target="l%20" TargetMode="External"/><Relationship Id="rId4" Type="http://schemas.openxmlformats.org/officeDocument/2006/relationships/webSettings" Target="webSettings.xml"/><Relationship Id="rId9" Type="http://schemas.openxmlformats.org/officeDocument/2006/relationships/hyperlink" Target="l%20" TargetMode="External"/><Relationship Id="rId14" Type="http://schemas.openxmlformats.org/officeDocument/2006/relationships/hyperlink" Target="l%20" TargetMode="External"/><Relationship Id="rId22" Type="http://schemas.openxmlformats.org/officeDocument/2006/relationships/hyperlink" Target="l%20" TargetMode="External"/><Relationship Id="rId27" Type="http://schemas.openxmlformats.org/officeDocument/2006/relationships/hyperlink" Target="http://www.polifonia-tn.o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26331</Words>
  <Characters>15010</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Steponėnas</dc:creator>
  <cp:lastModifiedBy>Audrius Steponėnas</cp:lastModifiedBy>
  <cp:revision>1</cp:revision>
  <dcterms:created xsi:type="dcterms:W3CDTF">2018-01-23T07:27:00Z</dcterms:created>
  <dcterms:modified xsi:type="dcterms:W3CDTF">2018-01-23T07:28:00Z</dcterms:modified>
</cp:coreProperties>
</file>